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B66E8" w14:paraId="114B2339" w14:textId="77777777" w:rsidTr="00AD33A8">
        <w:trPr>
          <w:trHeight w:val="282"/>
        </w:trPr>
        <w:tc>
          <w:tcPr>
            <w:tcW w:w="500" w:type="dxa"/>
            <w:vMerge w:val="restart"/>
            <w:tcBorders>
              <w:bottom w:val="nil"/>
            </w:tcBorders>
            <w:textDirection w:val="btLr"/>
          </w:tcPr>
          <w:p w14:paraId="114B2334" w14:textId="77777777" w:rsidR="00041727" w:rsidRPr="006B66E8"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6B66E8">
              <w:rPr>
                <w:color w:val="365F91" w:themeColor="accent1" w:themeShade="BF"/>
                <w:sz w:val="10"/>
                <w:szCs w:val="10"/>
                <w:lang w:val="es-ES" w:eastAsia="zh-CN"/>
              </w:rPr>
              <w:t>TIEMPO</w:t>
            </w:r>
            <w:r w:rsidR="00041727" w:rsidRPr="006B66E8">
              <w:rPr>
                <w:color w:val="365F91" w:themeColor="accent1" w:themeShade="BF"/>
                <w:sz w:val="10"/>
                <w:szCs w:val="10"/>
                <w:lang w:val="es-ES" w:eastAsia="zh-CN"/>
              </w:rPr>
              <w:t xml:space="preserve"> CLIMA </w:t>
            </w:r>
            <w:r w:rsidRPr="006B66E8">
              <w:rPr>
                <w:color w:val="365F91" w:themeColor="accent1" w:themeShade="BF"/>
                <w:sz w:val="10"/>
                <w:szCs w:val="10"/>
                <w:lang w:val="es-ES" w:eastAsia="zh-CN"/>
              </w:rPr>
              <w:t>AGUA</w:t>
            </w:r>
          </w:p>
        </w:tc>
        <w:tc>
          <w:tcPr>
            <w:tcW w:w="6852" w:type="dxa"/>
            <w:vMerge w:val="restart"/>
          </w:tcPr>
          <w:p w14:paraId="114B2335" w14:textId="77777777" w:rsidR="00041727" w:rsidRPr="006B66E8" w:rsidRDefault="00041727" w:rsidP="00993581">
            <w:pPr>
              <w:tabs>
                <w:tab w:val="left" w:pos="6946"/>
              </w:tabs>
              <w:suppressAutoHyphens/>
              <w:spacing w:after="120" w:line="252" w:lineRule="auto"/>
              <w:ind w:left="1134"/>
              <w:jc w:val="left"/>
              <w:rPr>
                <w:rStyle w:val="StyleComplex11ptBoldAccent1"/>
                <w:lang w:val="es-ES"/>
              </w:rPr>
            </w:pPr>
            <w:r w:rsidRPr="006B66E8">
              <w:rPr>
                <w:noProof/>
                <w:color w:val="365F91" w:themeColor="accent1" w:themeShade="BF"/>
                <w:szCs w:val="22"/>
                <w:lang w:val="es-ES" w:eastAsia="es-ES"/>
              </w:rPr>
              <w:drawing>
                <wp:anchor distT="0" distB="0" distL="114300" distR="114300" simplePos="0" relativeHeight="251664896" behindDoc="1" locked="1" layoutInCell="1" allowOverlap="1" wp14:anchorId="114B24DB" wp14:editId="114B24DC">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00527225" w:rsidRPr="006B66E8">
              <w:rPr>
                <w:rStyle w:val="StyleComplex11ptBoldAccent1"/>
                <w:lang w:val="es-ES"/>
              </w:rPr>
              <w:t>Organización Meteorológica Mundial</w:t>
            </w:r>
          </w:p>
          <w:p w14:paraId="114B2336" w14:textId="77777777" w:rsidR="00041727" w:rsidRPr="006B66E8"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6B66E8">
              <w:rPr>
                <w:rFonts w:cs="Tahoma"/>
                <w:b/>
                <w:color w:val="365F91" w:themeColor="accent1" w:themeShade="BF"/>
                <w:spacing w:val="-2"/>
                <w:szCs w:val="22"/>
                <w:lang w:val="es-ES"/>
              </w:rPr>
              <w:t>CONSEJO EJECUTIVO</w:t>
            </w:r>
          </w:p>
          <w:p w14:paraId="114B2337" w14:textId="77777777" w:rsidR="00041727" w:rsidRPr="006B66E8"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B66E8">
              <w:rPr>
                <w:rFonts w:cstheme="minorBidi"/>
                <w:b/>
                <w:snapToGrid w:val="0"/>
                <w:color w:val="365F91" w:themeColor="accent1" w:themeShade="BF"/>
                <w:szCs w:val="22"/>
                <w:lang w:val="es-ES"/>
              </w:rPr>
              <w:t xml:space="preserve">Septuagésima </w:t>
            </w:r>
            <w:r w:rsidR="00581CFE" w:rsidRPr="006B66E8">
              <w:rPr>
                <w:rFonts w:cstheme="minorBidi"/>
                <w:b/>
                <w:snapToGrid w:val="0"/>
                <w:color w:val="365F91" w:themeColor="accent1" w:themeShade="BF"/>
                <w:szCs w:val="22"/>
                <w:lang w:val="es-ES"/>
              </w:rPr>
              <w:t>sexta</w:t>
            </w:r>
            <w:r w:rsidRPr="006B66E8">
              <w:rPr>
                <w:rFonts w:cstheme="minorBidi"/>
                <w:b/>
                <w:snapToGrid w:val="0"/>
                <w:color w:val="365F91" w:themeColor="accent1" w:themeShade="BF"/>
                <w:szCs w:val="22"/>
                <w:lang w:val="es-ES"/>
              </w:rPr>
              <w:t xml:space="preserve"> reunión</w:t>
            </w:r>
            <w:r w:rsidR="00041727" w:rsidRPr="006B66E8">
              <w:rPr>
                <w:rFonts w:cstheme="minorBidi"/>
                <w:b/>
                <w:snapToGrid w:val="0"/>
                <w:color w:val="365F91" w:themeColor="accent1" w:themeShade="BF"/>
                <w:szCs w:val="22"/>
                <w:lang w:val="es-ES"/>
              </w:rPr>
              <w:br/>
            </w:r>
            <w:r w:rsidR="00447D93" w:rsidRPr="006B66E8">
              <w:rPr>
                <w:snapToGrid w:val="0"/>
                <w:color w:val="365F91" w:themeColor="accent1" w:themeShade="BF"/>
                <w:szCs w:val="22"/>
                <w:lang w:val="es-ES"/>
              </w:rPr>
              <w:t xml:space="preserve">Ginebra, </w:t>
            </w:r>
            <w:r w:rsidR="00DA4CFF" w:rsidRPr="006B66E8">
              <w:rPr>
                <w:snapToGrid w:val="0"/>
                <w:color w:val="365F91" w:themeColor="accent1" w:themeShade="BF"/>
                <w:szCs w:val="22"/>
                <w:lang w:val="es-ES"/>
              </w:rPr>
              <w:t>2</w:t>
            </w:r>
            <w:r w:rsidR="00581CFE" w:rsidRPr="006B66E8">
              <w:rPr>
                <w:snapToGrid w:val="0"/>
                <w:color w:val="365F91" w:themeColor="accent1" w:themeShade="BF"/>
                <w:szCs w:val="22"/>
                <w:lang w:val="es-ES"/>
              </w:rPr>
              <w:t>7 de febrero</w:t>
            </w:r>
            <w:r w:rsidR="00A41E35" w:rsidRPr="006B66E8">
              <w:rPr>
                <w:snapToGrid w:val="0"/>
                <w:color w:val="365F91" w:themeColor="accent1" w:themeShade="BF"/>
                <w:szCs w:val="22"/>
                <w:lang w:val="es-ES"/>
              </w:rPr>
              <w:t xml:space="preserve"> </w:t>
            </w:r>
            <w:r w:rsidRPr="006B66E8">
              <w:rPr>
                <w:snapToGrid w:val="0"/>
                <w:color w:val="365F91" w:themeColor="accent1" w:themeShade="BF"/>
                <w:szCs w:val="22"/>
                <w:lang w:val="es-ES"/>
              </w:rPr>
              <w:t>a</w:t>
            </w:r>
            <w:r w:rsidR="00A41E35" w:rsidRPr="006B66E8">
              <w:rPr>
                <w:snapToGrid w:val="0"/>
                <w:color w:val="365F91" w:themeColor="accent1" w:themeShade="BF"/>
                <w:szCs w:val="22"/>
                <w:lang w:val="es-ES"/>
              </w:rPr>
              <w:t xml:space="preserve"> </w:t>
            </w:r>
            <w:r w:rsidR="00581CFE" w:rsidRPr="006B66E8">
              <w:rPr>
                <w:snapToGrid w:val="0"/>
                <w:color w:val="365F91" w:themeColor="accent1" w:themeShade="BF"/>
                <w:szCs w:val="22"/>
                <w:lang w:val="es-ES"/>
              </w:rPr>
              <w:t>3</w:t>
            </w:r>
            <w:r w:rsidR="00A41E35" w:rsidRPr="006B66E8">
              <w:rPr>
                <w:snapToGrid w:val="0"/>
                <w:color w:val="365F91" w:themeColor="accent1" w:themeShade="BF"/>
                <w:szCs w:val="22"/>
                <w:lang w:val="es-ES"/>
              </w:rPr>
              <w:t xml:space="preserve"> </w:t>
            </w:r>
            <w:r w:rsidRPr="006B66E8">
              <w:rPr>
                <w:snapToGrid w:val="0"/>
                <w:color w:val="365F91" w:themeColor="accent1" w:themeShade="BF"/>
                <w:szCs w:val="22"/>
                <w:lang w:val="es-ES"/>
              </w:rPr>
              <w:t xml:space="preserve">de </w:t>
            </w:r>
            <w:r w:rsidR="00581CFE" w:rsidRPr="006B66E8">
              <w:rPr>
                <w:snapToGrid w:val="0"/>
                <w:color w:val="365F91" w:themeColor="accent1" w:themeShade="BF"/>
                <w:szCs w:val="22"/>
                <w:lang w:val="es-ES"/>
              </w:rPr>
              <w:t xml:space="preserve">marzo </w:t>
            </w:r>
            <w:r w:rsidRPr="006B66E8">
              <w:rPr>
                <w:snapToGrid w:val="0"/>
                <w:color w:val="365F91" w:themeColor="accent1" w:themeShade="BF"/>
                <w:szCs w:val="22"/>
                <w:lang w:val="es-ES"/>
              </w:rPr>
              <w:t>de</w:t>
            </w:r>
            <w:r w:rsidR="00A41E35" w:rsidRPr="006B66E8">
              <w:rPr>
                <w:snapToGrid w:val="0"/>
                <w:color w:val="365F91" w:themeColor="accent1" w:themeShade="BF"/>
                <w:szCs w:val="22"/>
                <w:lang w:val="es-ES"/>
              </w:rPr>
              <w:t xml:space="preserve"> 202</w:t>
            </w:r>
            <w:r w:rsidR="00581CFE" w:rsidRPr="006B66E8">
              <w:rPr>
                <w:snapToGrid w:val="0"/>
                <w:color w:val="365F91" w:themeColor="accent1" w:themeShade="BF"/>
                <w:szCs w:val="22"/>
                <w:lang w:val="es-ES"/>
              </w:rPr>
              <w:t>3</w:t>
            </w:r>
          </w:p>
        </w:tc>
        <w:tc>
          <w:tcPr>
            <w:tcW w:w="2962" w:type="dxa"/>
          </w:tcPr>
          <w:p w14:paraId="114B2338" w14:textId="77777777" w:rsidR="00041727" w:rsidRPr="006B66E8" w:rsidRDefault="0024027B" w:rsidP="00F61675">
            <w:pPr>
              <w:tabs>
                <w:tab w:val="clear" w:pos="1134"/>
              </w:tabs>
              <w:spacing w:after="60"/>
              <w:ind w:right="-108"/>
              <w:jc w:val="right"/>
              <w:rPr>
                <w:rFonts w:cs="Tahoma"/>
                <w:b/>
                <w:bCs/>
                <w:color w:val="365F91" w:themeColor="accent1" w:themeShade="BF"/>
                <w:szCs w:val="22"/>
                <w:lang w:val="es-ES"/>
              </w:rPr>
            </w:pPr>
            <w:r w:rsidRPr="006B66E8">
              <w:rPr>
                <w:rFonts w:cs="Tahoma"/>
                <w:b/>
                <w:bCs/>
                <w:color w:val="365F91" w:themeColor="accent1" w:themeShade="BF"/>
                <w:szCs w:val="22"/>
                <w:lang w:val="es-ES"/>
              </w:rPr>
              <w:t>EC-7</w:t>
            </w:r>
            <w:r w:rsidR="00581CFE" w:rsidRPr="006B66E8">
              <w:rPr>
                <w:rFonts w:cs="Tahoma"/>
                <w:b/>
                <w:bCs/>
                <w:color w:val="365F91" w:themeColor="accent1" w:themeShade="BF"/>
                <w:szCs w:val="22"/>
                <w:lang w:val="es-ES"/>
              </w:rPr>
              <w:t>6</w:t>
            </w:r>
            <w:r w:rsidR="00A41E35" w:rsidRPr="006B66E8">
              <w:rPr>
                <w:rFonts w:cs="Tahoma"/>
                <w:b/>
                <w:bCs/>
                <w:color w:val="365F91" w:themeColor="accent1" w:themeShade="BF"/>
                <w:szCs w:val="22"/>
                <w:lang w:val="es-ES"/>
              </w:rPr>
              <w:t xml:space="preserve">/Doc. </w:t>
            </w:r>
            <w:r w:rsidR="008907B5" w:rsidRPr="006B66E8">
              <w:rPr>
                <w:rFonts w:cs="Tahoma"/>
                <w:b/>
                <w:bCs/>
                <w:color w:val="365F91" w:themeColor="accent1" w:themeShade="BF"/>
                <w:szCs w:val="22"/>
                <w:lang w:val="es-ES"/>
              </w:rPr>
              <w:t xml:space="preserve">3.2(16) </w:t>
            </w:r>
          </w:p>
        </w:tc>
      </w:tr>
      <w:tr w:rsidR="00041727" w:rsidRPr="006B66E8" w14:paraId="114B233F" w14:textId="77777777" w:rsidTr="00AD33A8">
        <w:trPr>
          <w:trHeight w:val="730"/>
        </w:trPr>
        <w:tc>
          <w:tcPr>
            <w:tcW w:w="500" w:type="dxa"/>
            <w:vMerge/>
            <w:tcBorders>
              <w:bottom w:val="nil"/>
            </w:tcBorders>
          </w:tcPr>
          <w:p w14:paraId="114B233A" w14:textId="77777777" w:rsidR="00041727" w:rsidRPr="006B66E8"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114B233B" w14:textId="77777777" w:rsidR="00041727" w:rsidRPr="006B66E8"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114B233C" w14:textId="77777777" w:rsidR="00041727" w:rsidRPr="006B66E8" w:rsidRDefault="00527225" w:rsidP="00527225">
            <w:pPr>
              <w:pStyle w:val="StyleComplexTahomaComplex11ptAccent1RightAfter-"/>
              <w:rPr>
                <w:lang w:val="es-ES"/>
              </w:rPr>
            </w:pPr>
            <w:r w:rsidRPr="006B66E8">
              <w:rPr>
                <w:lang w:val="es-ES"/>
              </w:rPr>
              <w:t>Presentado por</w:t>
            </w:r>
            <w:r w:rsidR="00041727" w:rsidRPr="006B66E8">
              <w:rPr>
                <w:lang w:val="es-ES"/>
              </w:rPr>
              <w:t>:</w:t>
            </w:r>
            <w:r w:rsidR="00041727" w:rsidRPr="006B66E8">
              <w:rPr>
                <w:lang w:val="es-ES"/>
              </w:rPr>
              <w:br/>
            </w:r>
            <w:r w:rsidR="008907B5" w:rsidRPr="006B66E8">
              <w:rPr>
                <w:bCs/>
                <w:color w:val="365F91"/>
                <w:lang w:val="es-ES"/>
              </w:rPr>
              <w:t>presidente de la INFCOM</w:t>
            </w:r>
          </w:p>
          <w:p w14:paraId="114B233D" w14:textId="77777777" w:rsidR="00041727" w:rsidRPr="006B66E8" w:rsidRDefault="008907B5" w:rsidP="00527225">
            <w:pPr>
              <w:pStyle w:val="StyleComplexTahomaComplex11ptAccent1RightAfter-"/>
              <w:rPr>
                <w:lang w:val="es-ES"/>
              </w:rPr>
            </w:pPr>
            <w:r w:rsidRPr="006B66E8">
              <w:rPr>
                <w:bCs/>
                <w:color w:val="365F91"/>
                <w:lang w:val="es-ES"/>
              </w:rPr>
              <w:t>13</w:t>
            </w:r>
            <w:r w:rsidR="00527225" w:rsidRPr="006B66E8">
              <w:rPr>
                <w:lang w:val="es-ES"/>
              </w:rPr>
              <w:t>.</w:t>
            </w:r>
            <w:r w:rsidRPr="006B66E8">
              <w:rPr>
                <w:lang w:val="es-ES"/>
              </w:rPr>
              <w:t>XII</w:t>
            </w:r>
            <w:r w:rsidR="00A41E35" w:rsidRPr="006B66E8">
              <w:rPr>
                <w:lang w:val="es-ES"/>
              </w:rPr>
              <w:t>.202</w:t>
            </w:r>
            <w:r w:rsidR="00581CFE" w:rsidRPr="006B66E8">
              <w:rPr>
                <w:lang w:val="es-ES"/>
              </w:rPr>
              <w:t>2</w:t>
            </w:r>
          </w:p>
          <w:p w14:paraId="114B233E" w14:textId="77777777" w:rsidR="00041727" w:rsidRPr="006B66E8" w:rsidRDefault="00CF40BF" w:rsidP="002F6DAC">
            <w:pPr>
              <w:tabs>
                <w:tab w:val="clear" w:pos="1134"/>
              </w:tabs>
              <w:spacing w:before="120" w:after="60"/>
              <w:ind w:right="-108"/>
              <w:jc w:val="right"/>
              <w:rPr>
                <w:rFonts w:cs="Tahoma"/>
                <w:b/>
                <w:bCs/>
                <w:color w:val="365F91" w:themeColor="accent1" w:themeShade="BF"/>
                <w:szCs w:val="22"/>
                <w:lang w:val="es-ES"/>
              </w:rPr>
            </w:pPr>
            <w:r w:rsidRPr="006B66E8">
              <w:rPr>
                <w:rFonts w:cs="Tahoma"/>
                <w:b/>
                <w:bCs/>
                <w:color w:val="365F91" w:themeColor="accent1" w:themeShade="BF"/>
                <w:szCs w:val="22"/>
                <w:lang w:val="es-ES"/>
              </w:rPr>
              <w:t>VERSIÓN 1</w:t>
            </w:r>
          </w:p>
        </w:tc>
      </w:tr>
    </w:tbl>
    <w:p w14:paraId="114B2340" w14:textId="77777777" w:rsidR="00C4470F" w:rsidRPr="006B66E8" w:rsidRDefault="001527A3" w:rsidP="00514EAC">
      <w:pPr>
        <w:pStyle w:val="WMOBodyText"/>
        <w:ind w:left="3969" w:hanging="3969"/>
        <w:rPr>
          <w:b/>
          <w:lang w:val="es-ES"/>
        </w:rPr>
      </w:pPr>
      <w:r w:rsidRPr="006B66E8">
        <w:rPr>
          <w:b/>
          <w:lang w:val="es-ES"/>
        </w:rPr>
        <w:t xml:space="preserve">PUNTO </w:t>
      </w:r>
      <w:r w:rsidR="008907B5" w:rsidRPr="006B66E8">
        <w:rPr>
          <w:b/>
          <w:lang w:val="es-ES"/>
        </w:rPr>
        <w:t>3</w:t>
      </w:r>
      <w:r w:rsidRPr="006B66E8">
        <w:rPr>
          <w:b/>
          <w:lang w:val="es-ES"/>
        </w:rPr>
        <w:t xml:space="preserve"> DEL ORDEN DEL DÍA:</w:t>
      </w:r>
      <w:r w:rsidR="00A41E35" w:rsidRPr="006B66E8">
        <w:rPr>
          <w:b/>
          <w:lang w:val="es-ES"/>
        </w:rPr>
        <w:tab/>
      </w:r>
      <w:r w:rsidR="008907B5" w:rsidRPr="006B66E8">
        <w:rPr>
          <w:b/>
          <w:bCs/>
          <w:lang w:val="es-ES"/>
        </w:rPr>
        <w:t xml:space="preserve">APLICACIÓN DE LAS DECISIONES </w:t>
      </w:r>
      <w:r w:rsidR="008907B5" w:rsidRPr="006B66E8">
        <w:rPr>
          <w:b/>
          <w:bCs/>
          <w:lang w:val="es-ES"/>
        </w:rPr>
        <w:br/>
        <w:t>DEL CONGRESO: CUESTIONES TÉCNICAS</w:t>
      </w:r>
    </w:p>
    <w:p w14:paraId="114B2341" w14:textId="77777777" w:rsidR="001527A3" w:rsidRPr="006B66E8" w:rsidRDefault="001527A3" w:rsidP="001527A3">
      <w:pPr>
        <w:pStyle w:val="WMOBodyText"/>
        <w:ind w:left="3969" w:hanging="3969"/>
        <w:rPr>
          <w:b/>
          <w:lang w:val="es-ES"/>
        </w:rPr>
      </w:pPr>
      <w:r w:rsidRPr="006B66E8">
        <w:rPr>
          <w:b/>
          <w:lang w:val="es-ES"/>
        </w:rPr>
        <w:t xml:space="preserve">PUNTO </w:t>
      </w:r>
      <w:r w:rsidR="008907B5" w:rsidRPr="006B66E8">
        <w:rPr>
          <w:b/>
          <w:lang w:val="es-ES"/>
        </w:rPr>
        <w:t>3.2</w:t>
      </w:r>
      <w:r w:rsidRPr="006B66E8">
        <w:rPr>
          <w:b/>
          <w:lang w:val="es-ES"/>
        </w:rPr>
        <w:t>:</w:t>
      </w:r>
      <w:r w:rsidRPr="006B66E8">
        <w:rPr>
          <w:b/>
          <w:lang w:val="es-ES"/>
        </w:rPr>
        <w:tab/>
      </w:r>
      <w:r w:rsidR="008907B5" w:rsidRPr="006B66E8">
        <w:rPr>
          <w:b/>
          <w:bCs/>
          <w:lang w:val="es-ES"/>
        </w:rPr>
        <w:t xml:space="preserve">Meta a largo plazo 2: Observaciones </w:t>
      </w:r>
      <w:r w:rsidR="008907B5" w:rsidRPr="006B66E8">
        <w:rPr>
          <w:b/>
          <w:bCs/>
          <w:lang w:val="es-ES"/>
        </w:rPr>
        <w:br/>
        <w:t>y predicciones del sistema Tierra</w:t>
      </w:r>
    </w:p>
    <w:p w14:paraId="114B2342" w14:textId="77777777" w:rsidR="00814CC6" w:rsidRPr="006B66E8" w:rsidRDefault="008907B5" w:rsidP="00EC7CF5">
      <w:pPr>
        <w:pStyle w:val="Heading1"/>
        <w:spacing w:before="600" w:after="360"/>
        <w:rPr>
          <w:lang w:val="es-ES"/>
        </w:rPr>
      </w:pPr>
      <w:bookmarkStart w:id="0" w:name="_APPENDIX_A:_"/>
      <w:bookmarkEnd w:id="0"/>
      <w:r w:rsidRPr="006B66E8">
        <w:rPr>
          <w:lang w:val="es-ES"/>
        </w:rPr>
        <w:t xml:space="preserve">POSICIÓN DE LA ORGANIZACIÓN METEOROLÓGICA MUNDIAL </w:t>
      </w:r>
      <w:r w:rsidRPr="006B66E8">
        <w:rPr>
          <w:lang w:val="es-ES"/>
        </w:rPr>
        <w:br/>
        <w:t xml:space="preserve">CON RESPECTO AL ORDEN DEL DÍA DE LA CONFERENCIA MUNDIAL </w:t>
      </w:r>
      <w:r w:rsidRPr="006B66E8">
        <w:rPr>
          <w:lang w:val="es-ES"/>
        </w:rPr>
        <w:br/>
        <w:t>DE RADIOCOMUNICACIONES DE 2023</w:t>
      </w:r>
    </w:p>
    <w:tbl>
      <w:tblPr>
        <w:tblStyle w:val="TableGrid"/>
        <w:tblW w:w="9526" w:type="dxa"/>
        <w:jc w:val="center"/>
        <w:tblLook w:val="04A0" w:firstRow="1" w:lastRow="0" w:firstColumn="1" w:lastColumn="0" w:noHBand="0" w:noVBand="1"/>
      </w:tblPr>
      <w:tblGrid>
        <w:gridCol w:w="9526"/>
      </w:tblGrid>
      <w:tr w:rsidR="00EC7CF5" w:rsidRPr="00DB14AD" w14:paraId="114B234A" w14:textId="77777777" w:rsidTr="003C5AB0">
        <w:trPr>
          <w:jc w:val="center"/>
        </w:trPr>
        <w:tc>
          <w:tcPr>
            <w:tcW w:w="9526" w:type="dxa"/>
            <w:tcBorders>
              <w:bottom w:val="nil"/>
            </w:tcBorders>
          </w:tcPr>
          <w:p w14:paraId="114B2343" w14:textId="77777777" w:rsidR="00EC7CF5" w:rsidRPr="006B66E8" w:rsidRDefault="00EC7CF5" w:rsidP="003C5AB0">
            <w:pPr>
              <w:pStyle w:val="WMOBodyText"/>
              <w:spacing w:after="240"/>
              <w:jc w:val="center"/>
              <w:rPr>
                <w:b/>
                <w:bCs/>
                <w:sz w:val="22"/>
                <w:szCs w:val="22"/>
                <w:lang w:val="es-ES"/>
              </w:rPr>
            </w:pPr>
            <w:r w:rsidRPr="006B66E8">
              <w:rPr>
                <w:b/>
                <w:bCs/>
                <w:sz w:val="22"/>
                <w:szCs w:val="22"/>
                <w:lang w:val="es-ES"/>
              </w:rPr>
              <w:t>RESUMEN</w:t>
            </w:r>
          </w:p>
          <w:p w14:paraId="114B2344" w14:textId="77777777" w:rsidR="00581CFE" w:rsidRPr="006B66E8" w:rsidRDefault="00581CFE" w:rsidP="008907B5">
            <w:pPr>
              <w:pStyle w:val="WMOBodyText"/>
              <w:spacing w:before="160"/>
              <w:jc w:val="left"/>
              <w:rPr>
                <w:lang w:val="es-ES"/>
              </w:rPr>
            </w:pPr>
            <w:r w:rsidRPr="006B66E8">
              <w:rPr>
                <w:b/>
                <w:bCs/>
                <w:lang w:val="es-ES"/>
              </w:rPr>
              <w:t>Documento presentado por:</w:t>
            </w:r>
            <w:r w:rsidRPr="006B66E8">
              <w:rPr>
                <w:lang w:val="es-ES"/>
              </w:rPr>
              <w:t xml:space="preserve"> </w:t>
            </w:r>
            <w:r w:rsidR="008907B5" w:rsidRPr="006B66E8">
              <w:rPr>
                <w:lang w:val="es-ES"/>
              </w:rPr>
              <w:t>el presidente de la Comisión de Observaciones, Infraestructura y Sistemas de Información (INFCOM).</w:t>
            </w:r>
          </w:p>
          <w:p w14:paraId="114B2345" w14:textId="78A0722E" w:rsidR="00581CFE" w:rsidRPr="006B66E8" w:rsidRDefault="00581CFE" w:rsidP="008907B5">
            <w:pPr>
              <w:pStyle w:val="WMOBodyText"/>
              <w:spacing w:before="160"/>
              <w:jc w:val="left"/>
              <w:rPr>
                <w:b/>
                <w:bCs/>
                <w:lang w:val="es-ES"/>
              </w:rPr>
            </w:pPr>
            <w:r w:rsidRPr="006B66E8">
              <w:rPr>
                <w:b/>
                <w:bCs/>
                <w:lang w:val="es-ES"/>
              </w:rPr>
              <w:t xml:space="preserve">Objetivo estratégico para 2020-2023: </w:t>
            </w:r>
            <w:r w:rsidR="008907B5" w:rsidRPr="006B66E8">
              <w:rPr>
                <w:lang w:val="es-ES"/>
              </w:rPr>
              <w:t xml:space="preserve">2.1 — Optimización del proceso de adquisición </w:t>
            </w:r>
            <w:r w:rsidR="00A84B3C" w:rsidRPr="006B66E8">
              <w:rPr>
                <w:lang w:val="es-ES"/>
              </w:rPr>
              <w:br/>
            </w:r>
            <w:r w:rsidR="008907B5" w:rsidRPr="006B66E8">
              <w:rPr>
                <w:lang w:val="es-ES"/>
              </w:rPr>
              <w:t>de datos de observaciones del sistema Tierra a través del Sistema Mundial Integrado de Sistemas de Observación de la OMM (WIGOS).</w:t>
            </w:r>
          </w:p>
          <w:p w14:paraId="114B2346" w14:textId="77777777" w:rsidR="00581CFE" w:rsidRPr="006B66E8" w:rsidRDefault="00581CFE" w:rsidP="008907B5">
            <w:pPr>
              <w:pStyle w:val="WMOBodyText"/>
              <w:spacing w:before="160"/>
              <w:jc w:val="left"/>
              <w:rPr>
                <w:lang w:val="es-ES"/>
              </w:rPr>
            </w:pPr>
            <w:r w:rsidRPr="006B66E8">
              <w:rPr>
                <w:b/>
                <w:bCs/>
                <w:lang w:val="es-ES"/>
              </w:rPr>
              <w:t>Consecuencias financieras y administrativas:</w:t>
            </w:r>
            <w:r w:rsidRPr="006B66E8">
              <w:rPr>
                <w:lang w:val="es-ES"/>
              </w:rPr>
              <w:t xml:space="preserve"> </w:t>
            </w:r>
            <w:r w:rsidR="008907B5" w:rsidRPr="006B66E8">
              <w:rPr>
                <w:lang w:val="es-ES"/>
              </w:rPr>
              <w:t>dentro de los parámetros del Plan Estratégico y del Plan de Funcionamiento para 2020-2023; se pondrán de manifiesto en el Plan Estratégico y el Plan de Funcionamiento para 2024-2027.</w:t>
            </w:r>
          </w:p>
          <w:p w14:paraId="114B2347" w14:textId="77777777" w:rsidR="00581CFE" w:rsidRPr="006B66E8" w:rsidRDefault="00581CFE" w:rsidP="008907B5">
            <w:pPr>
              <w:pStyle w:val="WMOBodyText"/>
              <w:spacing w:before="160"/>
              <w:jc w:val="left"/>
              <w:rPr>
                <w:lang w:val="es-ES"/>
              </w:rPr>
            </w:pPr>
            <w:r w:rsidRPr="006B66E8">
              <w:rPr>
                <w:b/>
                <w:bCs/>
                <w:lang w:val="es-ES"/>
              </w:rPr>
              <w:t>Principales encargados de la ejecución:</w:t>
            </w:r>
            <w:r w:rsidRPr="006B66E8">
              <w:rPr>
                <w:lang w:val="es-ES"/>
              </w:rPr>
              <w:t xml:space="preserve"> </w:t>
            </w:r>
            <w:r w:rsidR="008907B5" w:rsidRPr="006B66E8">
              <w:rPr>
                <w:lang w:val="es-ES"/>
              </w:rPr>
              <w:t>los Miembros de la Organización Meteorológica Mundial (OMM).</w:t>
            </w:r>
          </w:p>
          <w:p w14:paraId="114B2348" w14:textId="77777777" w:rsidR="00581CFE" w:rsidRPr="006B66E8" w:rsidRDefault="00581CFE" w:rsidP="008907B5">
            <w:pPr>
              <w:pStyle w:val="WMOBodyText"/>
              <w:spacing w:before="160"/>
              <w:jc w:val="left"/>
              <w:rPr>
                <w:lang w:val="es-ES"/>
              </w:rPr>
            </w:pPr>
            <w:r w:rsidRPr="006B66E8">
              <w:rPr>
                <w:b/>
                <w:bCs/>
                <w:lang w:val="es-ES"/>
              </w:rPr>
              <w:t>Cronograma:</w:t>
            </w:r>
            <w:r w:rsidRPr="006B66E8">
              <w:rPr>
                <w:lang w:val="es-ES"/>
              </w:rPr>
              <w:t xml:space="preserve"> </w:t>
            </w:r>
            <w:r w:rsidR="008907B5" w:rsidRPr="006B66E8">
              <w:rPr>
                <w:lang w:val="es-ES"/>
              </w:rPr>
              <w:t>2023.</w:t>
            </w:r>
          </w:p>
          <w:p w14:paraId="114B2349" w14:textId="77777777" w:rsidR="00581CFE" w:rsidRPr="006B66E8" w:rsidRDefault="00581CFE" w:rsidP="00581CFE">
            <w:pPr>
              <w:pStyle w:val="WMOBodyText"/>
              <w:spacing w:before="160"/>
              <w:rPr>
                <w:b/>
                <w:bCs/>
                <w:sz w:val="22"/>
                <w:szCs w:val="22"/>
                <w:lang w:val="es-ES"/>
              </w:rPr>
            </w:pPr>
            <w:r w:rsidRPr="006B66E8">
              <w:rPr>
                <w:b/>
                <w:bCs/>
                <w:lang w:val="es-ES"/>
              </w:rPr>
              <w:t>Medida prevista:</w:t>
            </w:r>
            <w:r w:rsidRPr="006B66E8">
              <w:rPr>
                <w:lang w:val="es-ES"/>
              </w:rPr>
              <w:t xml:space="preserve"> </w:t>
            </w:r>
            <w:r w:rsidR="008907B5" w:rsidRPr="006B66E8">
              <w:rPr>
                <w:lang w:val="es-ES"/>
              </w:rPr>
              <w:t>examinar el proyecto de recomendación propuesto.</w:t>
            </w:r>
          </w:p>
        </w:tc>
      </w:tr>
      <w:tr w:rsidR="00581CFE" w:rsidRPr="00DB14AD" w14:paraId="114B234C"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114B234B" w14:textId="77777777" w:rsidR="00581CFE" w:rsidRPr="006B66E8" w:rsidRDefault="00581CFE" w:rsidP="003C5AB0">
            <w:pPr>
              <w:pStyle w:val="WMOBodyText"/>
              <w:spacing w:before="120" w:after="120"/>
              <w:jc w:val="left"/>
              <w:rPr>
                <w:lang w:val="es-ES"/>
              </w:rPr>
            </w:pPr>
          </w:p>
        </w:tc>
      </w:tr>
    </w:tbl>
    <w:p w14:paraId="114B234D" w14:textId="77777777" w:rsidR="00B01B02" w:rsidRPr="006B66E8" w:rsidRDefault="00B01B02" w:rsidP="00EC7CF5">
      <w:pPr>
        <w:pStyle w:val="WMOBodyText"/>
        <w:spacing w:before="0"/>
        <w:rPr>
          <w:lang w:val="es-ES"/>
        </w:rPr>
      </w:pPr>
    </w:p>
    <w:p w14:paraId="114B234E" w14:textId="77777777" w:rsidR="00B01B02" w:rsidRPr="006B66E8" w:rsidRDefault="00B01B02">
      <w:pPr>
        <w:tabs>
          <w:tab w:val="clear" w:pos="1134"/>
        </w:tabs>
        <w:jc w:val="left"/>
        <w:rPr>
          <w:rFonts w:eastAsia="Verdana" w:cs="Verdana"/>
          <w:caps/>
          <w:kern w:val="32"/>
          <w:sz w:val="24"/>
          <w:szCs w:val="24"/>
          <w:lang w:val="es-ES" w:eastAsia="zh-TW"/>
        </w:rPr>
      </w:pPr>
      <w:r w:rsidRPr="006B66E8">
        <w:rPr>
          <w:lang w:val="es-ES"/>
        </w:rPr>
        <w:br w:type="page"/>
      </w:r>
    </w:p>
    <w:p w14:paraId="114B234F" w14:textId="77777777" w:rsidR="00581CFE" w:rsidRPr="006B66E8" w:rsidRDefault="00581CFE" w:rsidP="00581CFE">
      <w:pPr>
        <w:pStyle w:val="Heading1"/>
        <w:rPr>
          <w:lang w:val="es-ES"/>
        </w:rPr>
      </w:pPr>
      <w:bookmarkStart w:id="1" w:name="_Annex_to_Draft_2"/>
      <w:bookmarkStart w:id="2" w:name="_Annex_to_Draft"/>
      <w:bookmarkStart w:id="3" w:name="_PROYECTO_DE_RECOMENDACIÓN"/>
      <w:bookmarkEnd w:id="1"/>
      <w:bookmarkEnd w:id="2"/>
      <w:bookmarkEnd w:id="3"/>
      <w:r w:rsidRPr="006B66E8">
        <w:rPr>
          <w:lang w:val="es-ES"/>
        </w:rPr>
        <w:lastRenderedPageBreak/>
        <w:t>PROYECTO</w:t>
      </w:r>
      <w:r w:rsidR="008907B5" w:rsidRPr="006B66E8">
        <w:rPr>
          <w:lang w:val="es-ES"/>
        </w:rPr>
        <w:t xml:space="preserve"> </w:t>
      </w:r>
      <w:r w:rsidRPr="006B66E8">
        <w:rPr>
          <w:lang w:val="es-ES"/>
        </w:rPr>
        <w:t>DE RECOMENDACIÓN</w:t>
      </w:r>
    </w:p>
    <w:p w14:paraId="114B2350" w14:textId="77777777" w:rsidR="00581CFE" w:rsidRPr="006B66E8" w:rsidRDefault="00581CFE" w:rsidP="00581CFE">
      <w:pPr>
        <w:pStyle w:val="Heading2"/>
        <w:rPr>
          <w:lang w:val="es-ES"/>
        </w:rPr>
      </w:pPr>
      <w:bookmarkStart w:id="4" w:name="_DRAFT_RESOLUTION_4.2/1_(EC-64)_-_PU"/>
      <w:bookmarkStart w:id="5" w:name="_DRAFT_RESOLUTION_X.X/1"/>
      <w:bookmarkStart w:id="6" w:name="_Toc319327010"/>
      <w:bookmarkEnd w:id="4"/>
      <w:bookmarkEnd w:id="5"/>
      <w:r w:rsidRPr="006B66E8">
        <w:rPr>
          <w:lang w:val="es-ES"/>
        </w:rPr>
        <w:t xml:space="preserve">Proyecto de Recomendación </w:t>
      </w:r>
      <w:r w:rsidR="008907B5" w:rsidRPr="006B66E8">
        <w:rPr>
          <w:lang w:val="es-ES"/>
        </w:rPr>
        <w:t>3.2(16)</w:t>
      </w:r>
      <w:r w:rsidRPr="006B66E8">
        <w:rPr>
          <w:lang w:val="es-ES"/>
        </w:rPr>
        <w:t>/1 (EC-76)</w:t>
      </w:r>
    </w:p>
    <w:bookmarkEnd w:id="6"/>
    <w:p w14:paraId="114B2351" w14:textId="77777777" w:rsidR="00581CFE" w:rsidRPr="006B66E8" w:rsidRDefault="008907B5" w:rsidP="00581CFE">
      <w:pPr>
        <w:pStyle w:val="Heading2"/>
        <w:rPr>
          <w:caps/>
          <w:lang w:val="es-ES"/>
        </w:rPr>
      </w:pPr>
      <w:r w:rsidRPr="006B66E8">
        <w:rPr>
          <w:lang w:val="es-ES"/>
        </w:rPr>
        <w:t xml:space="preserve">Posición de la Organización Meteorológica Mundial con respecto </w:t>
      </w:r>
      <w:r w:rsidRPr="006B66E8">
        <w:rPr>
          <w:lang w:val="es-ES"/>
        </w:rPr>
        <w:br/>
        <w:t>al orden del día de la Conferencia Mundial de Radiocomunicaciones de 2023</w:t>
      </w:r>
    </w:p>
    <w:p w14:paraId="114B2352" w14:textId="77777777" w:rsidR="00581CFE" w:rsidRPr="006B66E8" w:rsidRDefault="00581CFE" w:rsidP="00581CFE">
      <w:pPr>
        <w:pStyle w:val="WMOBodyText"/>
        <w:rPr>
          <w:lang w:val="es-ES"/>
        </w:rPr>
      </w:pPr>
      <w:r w:rsidRPr="006B66E8">
        <w:rPr>
          <w:lang w:val="es-ES"/>
        </w:rPr>
        <w:t>EL CONSEJO EJECUTIVO,</w:t>
      </w:r>
    </w:p>
    <w:p w14:paraId="114B2353" w14:textId="77777777" w:rsidR="008907B5" w:rsidRPr="006B66E8" w:rsidRDefault="008907B5" w:rsidP="008907B5">
      <w:pPr>
        <w:pStyle w:val="WMOBodyText"/>
        <w:rPr>
          <w:b/>
          <w:bCs/>
          <w:lang w:val="es-ES"/>
        </w:rPr>
      </w:pPr>
      <w:r w:rsidRPr="006B66E8">
        <w:rPr>
          <w:b/>
          <w:bCs/>
          <w:lang w:val="es-ES"/>
        </w:rPr>
        <w:t xml:space="preserve">Recordando </w:t>
      </w:r>
      <w:r w:rsidRPr="006B66E8">
        <w:rPr>
          <w:lang w:val="es-ES"/>
        </w:rPr>
        <w:t xml:space="preserve">la </w:t>
      </w:r>
      <w:hyperlink r:id="rId12" w:anchor="page=168" w:history="1">
        <w:r w:rsidRPr="006B66E8">
          <w:rPr>
            <w:rStyle w:val="Hyperlink"/>
            <w:lang w:val="es-ES"/>
          </w:rPr>
          <w:t>Resolución 42 (Cg-18)</w:t>
        </w:r>
      </w:hyperlink>
      <w:r w:rsidRPr="006B66E8">
        <w:rPr>
          <w:lang w:val="es-ES"/>
        </w:rPr>
        <w:t xml:space="preserve"> — Frecuencias radioeléctricas para las actividades meteorológicas y medioambientales conexas,</w:t>
      </w:r>
    </w:p>
    <w:p w14:paraId="114B2354" w14:textId="77777777" w:rsidR="008907B5" w:rsidRPr="006B66E8" w:rsidRDefault="008907B5" w:rsidP="008907B5">
      <w:pPr>
        <w:pStyle w:val="WMOBodyText"/>
        <w:ind w:right="-170"/>
        <w:rPr>
          <w:lang w:val="es-ES"/>
        </w:rPr>
      </w:pPr>
      <w:r w:rsidRPr="006B66E8">
        <w:rPr>
          <w:b/>
          <w:bCs/>
          <w:lang w:val="es-ES"/>
        </w:rPr>
        <w:t xml:space="preserve">Reconociendo </w:t>
      </w:r>
      <w:r w:rsidRPr="006B66E8">
        <w:rPr>
          <w:lang w:val="es-ES"/>
        </w:rPr>
        <w:t>que la Comisión de Observaciones, Infraestructura y Sistemas de Información (INFCOM) debe proseguir con el examen continuo de las cuestiones reglamentarias y técnicas relacionadas con las frecuencias radioeléctricas destinadas a actividades operativas y de investigación meteorológicas y medioambientales conexas, así como también con la preparación de material de orientación e información para los Servicios Meteorológicos e Hidrológicos Nacionales (SMHN), en coordinación con otros órganos técnicos pertinentes de la Organización Meteorológica Mundial (OMM), y en colaboración con otros organismos internacionales pertinentes, en particular el Grupo de Coordinación de los Satélites Meteorológicos</w:t>
      </w:r>
      <w:r w:rsidR="0013433B" w:rsidRPr="006B66E8">
        <w:rPr>
          <w:lang w:val="es-ES"/>
        </w:rPr>
        <w:t xml:space="preserve"> (</w:t>
      </w:r>
      <w:r w:rsidR="00354FBF" w:rsidRPr="006B66E8">
        <w:rPr>
          <w:lang w:val="es-ES"/>
        </w:rPr>
        <w:t>CGMS</w:t>
      </w:r>
      <w:r w:rsidR="0013433B" w:rsidRPr="006B66E8">
        <w:rPr>
          <w:lang w:val="es-ES"/>
        </w:rPr>
        <w:t>)</w:t>
      </w:r>
      <w:r w:rsidRPr="006B66E8">
        <w:rPr>
          <w:lang w:val="es-ES"/>
        </w:rPr>
        <w:t>,</w:t>
      </w:r>
    </w:p>
    <w:p w14:paraId="114B2355" w14:textId="77777777" w:rsidR="008907B5" w:rsidRPr="006B66E8" w:rsidRDefault="008907B5" w:rsidP="008907B5">
      <w:pPr>
        <w:pStyle w:val="WMOBodyText"/>
        <w:ind w:right="-170"/>
        <w:rPr>
          <w:lang w:val="es-ES"/>
        </w:rPr>
      </w:pPr>
      <w:r w:rsidRPr="006B66E8">
        <w:rPr>
          <w:b/>
          <w:bCs/>
          <w:lang w:val="es-ES"/>
        </w:rPr>
        <w:t xml:space="preserve">Habiendo examinado </w:t>
      </w:r>
      <w:r w:rsidRPr="006B66E8">
        <w:rPr>
          <w:lang w:val="es-ES"/>
        </w:rPr>
        <w:t xml:space="preserve">la </w:t>
      </w:r>
      <w:hyperlink r:id="rId13" w:history="1">
        <w:r w:rsidRPr="006B66E8">
          <w:rPr>
            <w:rStyle w:val="Hyperlink"/>
            <w:lang w:val="es-ES"/>
          </w:rPr>
          <w:t>Recomendación 6.1(8)/1 (INFCOM-2)</w:t>
        </w:r>
      </w:hyperlink>
      <w:r w:rsidRPr="006B66E8">
        <w:rPr>
          <w:lang w:val="es-ES"/>
        </w:rPr>
        <w:t xml:space="preserve"> — Posición de la Organización Meteorológica Mundial con respecto al orden del día de la Conferencia Mundial de Radiocomunicaciones de 2023,</w:t>
      </w:r>
    </w:p>
    <w:p w14:paraId="114B2356" w14:textId="77777777" w:rsidR="008907B5" w:rsidRPr="006B66E8" w:rsidRDefault="008907B5" w:rsidP="008907B5">
      <w:pPr>
        <w:pStyle w:val="WMOBodyText"/>
        <w:rPr>
          <w:lang w:val="es-ES"/>
        </w:rPr>
      </w:pPr>
      <w:r w:rsidRPr="006B66E8">
        <w:rPr>
          <w:b/>
          <w:bCs/>
          <w:lang w:val="es-ES"/>
        </w:rPr>
        <w:t xml:space="preserve">Reconociendo también </w:t>
      </w:r>
      <w:r w:rsidRPr="006B66E8">
        <w:rPr>
          <w:lang w:val="es-ES"/>
        </w:rPr>
        <w:t xml:space="preserve">el éxito y la eficacia del enfoque adoptado por el Equipo de Expertos sobre Coordinación de Frecuencias Radioeléctricas (ET-RFC) en las cuatro últimas Conferencias Mundiales de Radiocomunicaciones (aquellas celebradas en 2007, 2012, 2015 y 2019) y en la preparación de la Conferencia de 2023, </w:t>
      </w:r>
    </w:p>
    <w:p w14:paraId="114B2357" w14:textId="77777777" w:rsidR="008907B5" w:rsidRPr="006B66E8" w:rsidRDefault="008907B5" w:rsidP="008907B5">
      <w:pPr>
        <w:pStyle w:val="WMOBodyText"/>
        <w:rPr>
          <w:lang w:val="es-ES"/>
        </w:rPr>
      </w:pPr>
      <w:r w:rsidRPr="006B66E8">
        <w:rPr>
          <w:b/>
          <w:bCs/>
          <w:lang w:val="es-ES"/>
        </w:rPr>
        <w:t xml:space="preserve">Alienta </w:t>
      </w:r>
      <w:r w:rsidRPr="006B66E8">
        <w:rPr>
          <w:lang w:val="es-ES"/>
        </w:rPr>
        <w:t>a los Miembros de la OMM a participar en las labores de coordinación de las frecuencias radioeléctricas a nivel nacional y regional en lo que respecta a las actualizaciones anuales de la posición preliminar de la OMM elaborada por el ET-RFC;</w:t>
      </w:r>
    </w:p>
    <w:p w14:paraId="114B2358" w14:textId="1E1490CB" w:rsidR="008907B5" w:rsidRPr="006B66E8" w:rsidRDefault="008907B5" w:rsidP="008907B5">
      <w:pPr>
        <w:pStyle w:val="WMOBodyText"/>
        <w:ind w:right="-113"/>
        <w:rPr>
          <w:lang w:val="es-ES"/>
        </w:rPr>
      </w:pPr>
      <w:r w:rsidRPr="006B66E8">
        <w:rPr>
          <w:b/>
          <w:bCs/>
          <w:lang w:val="es-ES"/>
        </w:rPr>
        <w:t xml:space="preserve">Notando </w:t>
      </w:r>
      <w:r w:rsidRPr="006B66E8">
        <w:rPr>
          <w:lang w:val="es-ES"/>
        </w:rPr>
        <w:t xml:space="preserve">que la finalización del documento de posición de la OMM para el Congreso Meteorológico Mundial se rige por el calendario de la Conferencia Mundial de Radiocomunicaciones y la Reunión Preparatoria de la Conferencia, que tendrá lugar del </w:t>
      </w:r>
      <w:r w:rsidR="00A84B3C" w:rsidRPr="006B66E8">
        <w:rPr>
          <w:lang w:val="es-ES"/>
        </w:rPr>
        <w:br/>
      </w:r>
      <w:r w:rsidRPr="006B66E8">
        <w:rPr>
          <w:lang w:val="es-ES"/>
        </w:rPr>
        <w:t>27 de marzo al 6 de abril de 2023,</w:t>
      </w:r>
    </w:p>
    <w:p w14:paraId="114B2359" w14:textId="3E49537C" w:rsidR="008907B5" w:rsidRPr="006B66E8" w:rsidRDefault="008907B5" w:rsidP="008907B5">
      <w:pPr>
        <w:pStyle w:val="WMOBodyText"/>
        <w:ind w:right="-170"/>
        <w:rPr>
          <w:lang w:val="es-ES"/>
        </w:rPr>
      </w:pPr>
      <w:r w:rsidRPr="006B66E8">
        <w:rPr>
          <w:b/>
          <w:bCs/>
          <w:lang w:val="es-ES"/>
        </w:rPr>
        <w:t>Decide</w:t>
      </w:r>
      <w:r w:rsidRPr="006B66E8">
        <w:rPr>
          <w:lang w:val="es-ES"/>
        </w:rPr>
        <w:t>:</w:t>
      </w:r>
    </w:p>
    <w:p w14:paraId="114B235A" w14:textId="77777777" w:rsidR="008907B5" w:rsidRPr="006B66E8" w:rsidRDefault="008907B5" w:rsidP="008907B5">
      <w:pPr>
        <w:pStyle w:val="WMOBodyText"/>
        <w:ind w:left="567" w:right="-170" w:hanging="567"/>
        <w:rPr>
          <w:lang w:val="es-ES"/>
        </w:rPr>
      </w:pPr>
      <w:r w:rsidRPr="006B66E8">
        <w:rPr>
          <w:lang w:val="es-ES"/>
        </w:rPr>
        <w:t>1)</w:t>
      </w:r>
      <w:r w:rsidRPr="006B66E8">
        <w:rPr>
          <w:lang w:val="es-ES"/>
        </w:rPr>
        <w:tab/>
        <w:t xml:space="preserve">hacer suyo el documento de posición preliminar que figura en el </w:t>
      </w:r>
      <w:hyperlink w:anchor="AnexoRecomendación" w:history="1">
        <w:r w:rsidRPr="006B66E8">
          <w:rPr>
            <w:rStyle w:val="Hyperlink"/>
            <w:lang w:val="es-ES"/>
          </w:rPr>
          <w:t>anexo</w:t>
        </w:r>
      </w:hyperlink>
      <w:r w:rsidRPr="006B66E8">
        <w:rPr>
          <w:lang w:val="es-ES"/>
        </w:rPr>
        <w:t xml:space="preserve"> a la presente recomendación;</w:t>
      </w:r>
    </w:p>
    <w:p w14:paraId="114B235B" w14:textId="77777777" w:rsidR="00581CFE" w:rsidRPr="006B66E8" w:rsidRDefault="008907B5" w:rsidP="008907B5">
      <w:pPr>
        <w:pStyle w:val="WMOBodyText"/>
        <w:ind w:left="567" w:hanging="567"/>
        <w:rPr>
          <w:bCs/>
          <w:lang w:val="es-ES"/>
        </w:rPr>
      </w:pPr>
      <w:r w:rsidRPr="006B66E8">
        <w:rPr>
          <w:lang w:val="es-ES"/>
        </w:rPr>
        <w:t>2)</w:t>
      </w:r>
      <w:r w:rsidRPr="006B66E8">
        <w:rPr>
          <w:lang w:val="es-ES"/>
        </w:rPr>
        <w:tab/>
        <w:t>delegar en el Presidente de la OMM la autoridad para recomendar al Congreso Meteorológico Mundial que apruebe la posición final de la OMM con respecto al orden del día de la Conferencia Mundial de Radiocomunicaciones de 2023, que se ultimará sobre la base del documento de posición preliminar y reflejará los resultados de la Reunión Preparatoria de la Conferencia Mundial de Radiocomunicaciones.</w:t>
      </w:r>
    </w:p>
    <w:p w14:paraId="114B235C" w14:textId="77777777" w:rsidR="00581CFE" w:rsidRPr="006B66E8" w:rsidRDefault="00581CFE" w:rsidP="00581CFE">
      <w:pPr>
        <w:spacing w:before="480"/>
        <w:jc w:val="center"/>
        <w:rPr>
          <w:lang w:val="es-ES"/>
        </w:rPr>
      </w:pPr>
      <w:r w:rsidRPr="006B66E8">
        <w:rPr>
          <w:lang w:val="es-ES"/>
        </w:rPr>
        <w:t>___________</w:t>
      </w:r>
    </w:p>
    <w:p w14:paraId="114B235D" w14:textId="77777777" w:rsidR="00581CFE" w:rsidRPr="006B66E8" w:rsidRDefault="00DB14AD" w:rsidP="008907B5">
      <w:pPr>
        <w:pStyle w:val="WMOBodyText"/>
        <w:spacing w:before="480"/>
        <w:rPr>
          <w:b/>
          <w:bCs/>
          <w:iCs/>
          <w:szCs w:val="22"/>
          <w:lang w:val="es-ES"/>
        </w:rPr>
      </w:pPr>
      <w:hyperlink w:anchor="AnexoRecomendación" w:history="1">
        <w:r w:rsidR="00581CFE" w:rsidRPr="006B66E8">
          <w:rPr>
            <w:rStyle w:val="Hyperlink"/>
            <w:lang w:val="es-ES"/>
          </w:rPr>
          <w:t>Anexo</w:t>
        </w:r>
        <w:r w:rsidR="008907B5" w:rsidRPr="006B66E8">
          <w:rPr>
            <w:rStyle w:val="Hyperlink"/>
            <w:lang w:val="es-ES"/>
          </w:rPr>
          <w:t>s</w:t>
        </w:r>
        <w:r w:rsidR="00581CFE" w:rsidRPr="006B66E8">
          <w:rPr>
            <w:rStyle w:val="Hyperlink"/>
            <w:lang w:val="es-ES"/>
          </w:rPr>
          <w:t xml:space="preserve">: </w:t>
        </w:r>
      </w:hyperlink>
      <w:r w:rsidR="008907B5" w:rsidRPr="006B66E8">
        <w:rPr>
          <w:rStyle w:val="Hyperlink"/>
          <w:lang w:val="es-ES"/>
        </w:rPr>
        <w:t>2</w:t>
      </w:r>
      <w:r w:rsidR="00581CFE" w:rsidRPr="006B66E8">
        <w:rPr>
          <w:lang w:val="es-ES"/>
        </w:rPr>
        <w:br w:type="page"/>
      </w:r>
    </w:p>
    <w:p w14:paraId="114B235E" w14:textId="77777777" w:rsidR="00581CFE" w:rsidRPr="006B66E8" w:rsidRDefault="00581CFE" w:rsidP="00581CFE">
      <w:pPr>
        <w:spacing w:before="480"/>
        <w:jc w:val="center"/>
        <w:rPr>
          <w:b/>
          <w:bCs/>
          <w:sz w:val="22"/>
          <w:szCs w:val="22"/>
          <w:lang w:val="es-ES"/>
        </w:rPr>
      </w:pPr>
      <w:bookmarkStart w:id="7" w:name="_Annex_to_draft_1"/>
      <w:bookmarkStart w:id="8" w:name="AnexoRecomendación"/>
      <w:bookmarkEnd w:id="7"/>
      <w:r w:rsidRPr="006B66E8">
        <w:rPr>
          <w:b/>
          <w:bCs/>
          <w:sz w:val="22"/>
          <w:szCs w:val="22"/>
          <w:lang w:val="es-ES"/>
        </w:rPr>
        <w:lastRenderedPageBreak/>
        <w:t xml:space="preserve">Anexo </w:t>
      </w:r>
      <w:r w:rsidR="008907B5" w:rsidRPr="006B66E8">
        <w:rPr>
          <w:b/>
          <w:bCs/>
          <w:sz w:val="22"/>
          <w:szCs w:val="22"/>
          <w:lang w:val="es-ES"/>
        </w:rPr>
        <w:t xml:space="preserve">1 </w:t>
      </w:r>
      <w:r w:rsidRPr="006B66E8">
        <w:rPr>
          <w:b/>
          <w:bCs/>
          <w:sz w:val="22"/>
          <w:szCs w:val="22"/>
          <w:lang w:val="es-ES"/>
        </w:rPr>
        <w:t xml:space="preserve">al proyecto de Recomendación </w:t>
      </w:r>
      <w:r w:rsidR="008907B5" w:rsidRPr="006B66E8">
        <w:rPr>
          <w:b/>
          <w:bCs/>
          <w:sz w:val="22"/>
          <w:szCs w:val="22"/>
          <w:lang w:val="es-ES"/>
        </w:rPr>
        <w:t>3.2(16)</w:t>
      </w:r>
      <w:r w:rsidRPr="006B66E8">
        <w:rPr>
          <w:b/>
          <w:bCs/>
          <w:sz w:val="22"/>
          <w:szCs w:val="22"/>
          <w:lang w:val="es-ES"/>
        </w:rPr>
        <w:t>/1 (EC-76)</w:t>
      </w:r>
      <w:bookmarkEnd w:id="8"/>
    </w:p>
    <w:p w14:paraId="114B235F" w14:textId="77777777" w:rsidR="00581CFE" w:rsidRPr="006B66E8" w:rsidRDefault="0014347F" w:rsidP="00581CFE">
      <w:pPr>
        <w:spacing w:before="240" w:after="360"/>
        <w:jc w:val="center"/>
        <w:rPr>
          <w:b/>
          <w:bCs/>
          <w:sz w:val="22"/>
          <w:szCs w:val="22"/>
          <w:lang w:val="es-ES"/>
        </w:rPr>
      </w:pPr>
      <w:r w:rsidRPr="006B66E8">
        <w:rPr>
          <w:b/>
          <w:bCs/>
          <w:sz w:val="22"/>
          <w:szCs w:val="22"/>
          <w:lang w:val="es-ES"/>
        </w:rPr>
        <w:t xml:space="preserve">POSICIÓN PRELIMINAR DE LA ORGANIZACIÓN METEOROLÓGICA MUNDIAL CON RESPECTO AL ORDEN DEL DÍA </w:t>
      </w:r>
      <w:r w:rsidR="00B1252C" w:rsidRPr="006B66E8">
        <w:rPr>
          <w:b/>
          <w:bCs/>
          <w:sz w:val="22"/>
          <w:szCs w:val="22"/>
          <w:lang w:val="es-ES"/>
        </w:rPr>
        <w:br/>
      </w:r>
      <w:r w:rsidRPr="006B66E8">
        <w:rPr>
          <w:b/>
          <w:bCs/>
          <w:sz w:val="22"/>
          <w:szCs w:val="22"/>
          <w:lang w:val="es-ES"/>
        </w:rPr>
        <w:t>DE LA CONFERENCIA MUNDIAL DE RADIOCOMUNICACIONES DE 2023</w:t>
      </w:r>
    </w:p>
    <w:p w14:paraId="114B2360" w14:textId="77777777" w:rsidR="008907B5" w:rsidRPr="006B66E8" w:rsidRDefault="008907B5" w:rsidP="005C53F9">
      <w:pPr>
        <w:pStyle w:val="Heading2"/>
        <w:tabs>
          <w:tab w:val="left" w:pos="1134"/>
        </w:tabs>
        <w:spacing w:after="240"/>
        <w:jc w:val="left"/>
        <w:rPr>
          <w:sz w:val="20"/>
          <w:szCs w:val="20"/>
          <w:lang w:val="es-ES"/>
        </w:rPr>
      </w:pPr>
      <w:r w:rsidRPr="006B66E8">
        <w:rPr>
          <w:sz w:val="20"/>
          <w:szCs w:val="20"/>
          <w:lang w:val="es-ES"/>
        </w:rPr>
        <w:t xml:space="preserve">1. </w:t>
      </w:r>
      <w:r w:rsidRPr="006B66E8">
        <w:rPr>
          <w:sz w:val="20"/>
          <w:szCs w:val="20"/>
          <w:lang w:val="es-ES"/>
        </w:rPr>
        <w:tab/>
        <w:t>Introducción</w:t>
      </w:r>
    </w:p>
    <w:p w14:paraId="114B2361"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Los Miembros de la Organización Meteorológica Mundial (OMM), por conducto de sus Servicios Meteorológicos e Hidrológicos Nacionales (SMHN) y los organismos de apoyo, incluidos los operadores de sistemas de observación espaciales, ponen a disposición de los usuarios un amplio abanico de servicios esenciales para observar los fenómenos meteorológicos, hidrológicos y climáticos, así como los fenómenos medioambientales conexos. </w:t>
      </w:r>
    </w:p>
    <w:p w14:paraId="114B2362"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La información recopilada mediante esas observaciones es vital para la comunidad mundial y contribuye a la seguridad de las personas y los bienes, sin olvidar que, a largo plazo, propicia la aplicación de los programas de desarrollo mundiales, como la Agenda 2030 para el Desarrollo Sostenible, el Acuerdo de París sobre el Clima y el Marco de Sendái para la Reducción del Riesgo de Desastres</w:t>
      </w:r>
      <w:r w:rsidRPr="006B66E8">
        <w:rPr>
          <w:rFonts w:ascii="Verdana" w:hAnsi="Verdana"/>
          <w:sz w:val="20"/>
          <w:szCs w:val="20"/>
          <w:vertAlign w:val="superscript"/>
          <w:lang w:val="es-ES"/>
        </w:rPr>
        <w:footnoteReference w:id="1"/>
      </w:r>
      <w:r w:rsidRPr="006B66E8">
        <w:rPr>
          <w:rFonts w:ascii="Verdana" w:hAnsi="Verdana"/>
          <w:sz w:val="20"/>
          <w:szCs w:val="20"/>
          <w:lang w:val="es-ES"/>
        </w:rPr>
        <w:t>.</w:t>
      </w:r>
    </w:p>
    <w:p w14:paraId="114B2363"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Las redes de observación operadas por los Miembros de la OMM son la piedra angular del Sistema Mundial Integrado de Sistemas de Observación de la OMM (WIGOS) y dependen </w:t>
      </w:r>
      <w:r w:rsidR="00360D39" w:rsidRPr="006B66E8">
        <w:rPr>
          <w:rFonts w:ascii="Verdana" w:hAnsi="Verdana"/>
          <w:sz w:val="20"/>
          <w:szCs w:val="20"/>
          <w:lang w:val="es-ES"/>
        </w:rPr>
        <w:t>d</w:t>
      </w:r>
      <w:r w:rsidRPr="006B66E8">
        <w:rPr>
          <w:rFonts w:ascii="Verdana" w:hAnsi="Verdana"/>
          <w:sz w:val="20"/>
          <w:szCs w:val="20"/>
          <w:lang w:val="es-ES"/>
        </w:rPr>
        <w:t>e</w:t>
      </w:r>
      <w:r w:rsidR="00360D39" w:rsidRPr="006B66E8">
        <w:rPr>
          <w:rFonts w:ascii="Verdana" w:hAnsi="Verdana"/>
          <w:sz w:val="20"/>
          <w:szCs w:val="20"/>
          <w:lang w:val="es-ES"/>
        </w:rPr>
        <w:t xml:space="preserve"> forma decisiva </w:t>
      </w:r>
      <w:r w:rsidRPr="006B66E8">
        <w:rPr>
          <w:rFonts w:ascii="Verdana" w:hAnsi="Verdana"/>
          <w:sz w:val="20"/>
          <w:szCs w:val="20"/>
          <w:lang w:val="es-ES"/>
        </w:rPr>
        <w:t xml:space="preserve">del uso de las frecuencias radioeléctricas para la obtención y la difusión de datos e información. </w:t>
      </w:r>
    </w:p>
    <w:p w14:paraId="114B2364"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En ese contexto, en la Resolución </w:t>
      </w:r>
      <w:r w:rsidRPr="006B66E8">
        <w:rPr>
          <w:rFonts w:ascii="Verdana" w:hAnsi="Verdana"/>
          <w:b/>
          <w:bCs/>
          <w:sz w:val="20"/>
          <w:szCs w:val="20"/>
          <w:lang w:val="es-ES"/>
        </w:rPr>
        <w:t>673</w:t>
      </w:r>
      <w:r w:rsidRPr="006B66E8">
        <w:rPr>
          <w:rFonts w:ascii="Verdana" w:hAnsi="Verdana"/>
          <w:sz w:val="20"/>
          <w:szCs w:val="20"/>
          <w:lang w:val="es-ES"/>
        </w:rPr>
        <w:t xml:space="preserve"> de la Conferencia Mundial de Radiocomunicaciones de 2012 de la Unión Internacional de Telecomunicaciones (UIT) (Ginebra, 2012)</w:t>
      </w:r>
      <w:r w:rsidRPr="006B66E8">
        <w:rPr>
          <w:rStyle w:val="FootnoteReference"/>
          <w:rFonts w:ascii="Verdana" w:hAnsi="Verdana"/>
          <w:sz w:val="20"/>
          <w:szCs w:val="20"/>
          <w:lang w:val="es-ES"/>
        </w:rPr>
        <w:footnoteReference w:id="2"/>
      </w:r>
      <w:r w:rsidRPr="006B66E8">
        <w:rPr>
          <w:rFonts w:ascii="Verdana" w:hAnsi="Verdana"/>
          <w:sz w:val="20"/>
          <w:szCs w:val="20"/>
          <w:lang w:val="es-ES"/>
        </w:rPr>
        <w:t xml:space="preserve"> se observa:</w:t>
      </w:r>
    </w:p>
    <w:p w14:paraId="114B2365" w14:textId="77777777" w:rsidR="008907B5" w:rsidRPr="006B66E8" w:rsidRDefault="008907B5" w:rsidP="008907B5">
      <w:pPr>
        <w:suppressAutoHyphens/>
        <w:autoSpaceDN w:val="0"/>
        <w:spacing w:before="240" w:after="240"/>
        <w:ind w:left="567" w:hanging="567"/>
        <w:jc w:val="left"/>
        <w:textAlignment w:val="baseline"/>
        <w:rPr>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que los datos de observación de la Tierra también son indispensables para la supervisión y predicción de los cambios climáticos, para la predicción y supervisión de las catástrofes y para la mitigación de sus efectos, para mejorar el conocimiento, la elaboración de modelos y la verificación de todos los aspectos del cambio climático, y para la formulación de políticas en esta materia;</w:t>
      </w:r>
    </w:p>
    <w:p w14:paraId="114B2366" w14:textId="77777777" w:rsidR="008907B5" w:rsidRPr="006B66E8" w:rsidRDefault="008907B5" w:rsidP="008907B5">
      <w:pPr>
        <w:suppressAutoHyphens/>
        <w:autoSpaceDN w:val="0"/>
        <w:spacing w:before="240" w:after="240"/>
        <w:ind w:left="567" w:hanging="567"/>
        <w:jc w:val="left"/>
        <w:textAlignment w:val="baseline"/>
        <w:rPr>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que muchas observaciones se realizan por todo el mundo, por lo que los temas relativos al espectro deben considerarse a nivel mundial;</w:t>
      </w:r>
    </w:p>
    <w:p w14:paraId="114B2367" w14:textId="77777777" w:rsidR="008907B5" w:rsidRPr="006B66E8" w:rsidRDefault="008907B5" w:rsidP="008907B5">
      <w:pPr>
        <w:suppressAutoHyphens/>
        <w:autoSpaceDN w:val="0"/>
        <w:spacing w:before="240" w:after="240"/>
        <w:ind w:left="567" w:hanging="567"/>
        <w:jc w:val="left"/>
        <w:textAlignment w:val="baseline"/>
        <w:rPr>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que las observaciones de la Tierra se efectúan en beneficio de toda la comunidad internacional y que generalmente los datos se ponen a disposición sin coste alguno;</w:t>
      </w:r>
    </w:p>
    <w:p w14:paraId="114B2368"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y se resuelve:</w:t>
      </w:r>
    </w:p>
    <w:p w14:paraId="114B2369" w14:textId="77777777" w:rsidR="008907B5" w:rsidRPr="006B66E8" w:rsidRDefault="008907B5" w:rsidP="008907B5">
      <w:pPr>
        <w:suppressAutoHyphens/>
        <w:autoSpaceDN w:val="0"/>
        <w:spacing w:before="240" w:after="240"/>
        <w:ind w:left="567" w:right="-170" w:hanging="567"/>
        <w:jc w:val="left"/>
        <w:textAlignment w:val="baseline"/>
        <w:rPr>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reconocer que el uso del espectro para aplicaciones de observación de la Tierra presenta un considerable valor económico y social;</w:t>
      </w:r>
    </w:p>
    <w:p w14:paraId="114B236A" w14:textId="77777777" w:rsidR="008907B5" w:rsidRPr="006B66E8" w:rsidRDefault="008907B5" w:rsidP="008907B5">
      <w:pPr>
        <w:suppressAutoHyphens/>
        <w:autoSpaceDN w:val="0"/>
        <w:spacing w:before="240" w:after="240"/>
        <w:ind w:left="567" w:right="-170" w:hanging="567"/>
        <w:jc w:val="left"/>
        <w:textAlignment w:val="baseline"/>
        <w:rPr>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instar a las administraciones a que tengan en cuenta las necesidades de radiofrecuencia de los servicios de observación de la Tierra y, en particular, la protección de las bandas de frecuencia correspondientes;</w:t>
      </w:r>
    </w:p>
    <w:p w14:paraId="114B236B" w14:textId="77777777" w:rsidR="008907B5" w:rsidRPr="006B66E8" w:rsidRDefault="008907B5" w:rsidP="008907B5">
      <w:pPr>
        <w:suppressAutoHyphens/>
        <w:autoSpaceDN w:val="0"/>
        <w:spacing w:before="240" w:after="240"/>
        <w:ind w:left="567" w:right="-170" w:hanging="567"/>
        <w:jc w:val="left"/>
        <w:textAlignment w:val="baseline"/>
        <w:rPr>
          <w:lang w:val="es-ES"/>
        </w:rPr>
      </w:pPr>
      <w:r w:rsidRPr="006B66E8">
        <w:rPr>
          <w:rFonts w:ascii="Symbol" w:eastAsia="MS Mincho" w:hAnsi="Symbol" w:cs="Times New Roman"/>
          <w:lang w:val="es-ES"/>
        </w:rPr>
        <w:lastRenderedPageBreak/>
        <w:t></w:t>
      </w:r>
      <w:r w:rsidRPr="006B66E8">
        <w:rPr>
          <w:rFonts w:ascii="Symbol" w:eastAsia="MS Mincho" w:hAnsi="Symbol" w:cs="Times New Roman"/>
          <w:lang w:val="es-ES"/>
        </w:rPr>
        <w:tab/>
      </w:r>
      <w:r w:rsidRPr="006B66E8">
        <w:rPr>
          <w:lang w:val="es-ES"/>
        </w:rPr>
        <w:t>alentar a las administraciones a que consideren la importancia de la utilización y disponibilidad de espectro para las aplicaciones de observación de la Tierra antes de tomar decisiones que pudieran afectar negativamente a dichas aplicaciones.</w:t>
      </w:r>
    </w:p>
    <w:p w14:paraId="114B236C"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La creación de nuevas aplicaciones radioeléctricas de valor añadido y destinadas a un mercado masivo somete las bandas de frecuencias utilizadas para fines meteorológicos a una presión creciente.</w:t>
      </w:r>
    </w:p>
    <w:p w14:paraId="114B236D"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Ello entraña el riesgo de que las aplicaciones meteorológicas y otras aplicaciones conexas puedan verse limitadas, pero también conlleva oportunidades de mejora de las observaciones. </w:t>
      </w:r>
    </w:p>
    <w:p w14:paraId="114B236E"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La OMM mantiene su empeño en colaborar con la UIT para optimizar el uso del espectro de frecuencias radioeléctricas en beneficio de la comunidad mundial. </w:t>
      </w:r>
    </w:p>
    <w:p w14:paraId="114B236F"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En el presente documento se plasma la posición preliminar de la OMM con respecto al orden del día de la Conferencia Mundial de Radiocomunicaciones de 2023</w:t>
      </w:r>
      <w:r w:rsidRPr="006B66E8">
        <w:rPr>
          <w:rFonts w:ascii="Verdana" w:hAnsi="Verdana"/>
          <w:sz w:val="20"/>
          <w:szCs w:val="20"/>
          <w:vertAlign w:val="superscript"/>
          <w:lang w:val="es-ES"/>
        </w:rPr>
        <w:footnoteReference w:id="3"/>
      </w:r>
      <w:r w:rsidRPr="006B66E8">
        <w:rPr>
          <w:rFonts w:ascii="Verdana" w:hAnsi="Verdana"/>
          <w:sz w:val="20"/>
          <w:szCs w:val="20"/>
          <w:lang w:val="es-ES"/>
        </w:rPr>
        <w:t>.</w:t>
      </w:r>
    </w:p>
    <w:p w14:paraId="114B2370" w14:textId="77777777" w:rsidR="008907B5" w:rsidRPr="006B66E8" w:rsidRDefault="008907B5" w:rsidP="008907B5">
      <w:pPr>
        <w:pStyle w:val="ListParagraph"/>
        <w:spacing w:before="240" w:after="240"/>
        <w:jc w:val="left"/>
        <w:rPr>
          <w:rFonts w:ascii="Verdana" w:hAnsi="Verdana" w:cs="Angsana New"/>
          <w:sz w:val="20"/>
          <w:szCs w:val="20"/>
          <w:lang w:val="es-ES"/>
        </w:rPr>
      </w:pPr>
      <w:r w:rsidRPr="006B66E8">
        <w:rPr>
          <w:rFonts w:ascii="Verdana" w:hAnsi="Verdana"/>
          <w:sz w:val="20"/>
          <w:szCs w:val="20"/>
          <w:lang w:val="es-ES"/>
        </w:rPr>
        <w:t xml:space="preserve">En los dos anexos al presente documento se </w:t>
      </w:r>
      <w:r w:rsidR="00D61B9A" w:rsidRPr="006B66E8">
        <w:rPr>
          <w:rFonts w:ascii="Verdana" w:hAnsi="Verdana"/>
          <w:sz w:val="20"/>
          <w:szCs w:val="20"/>
          <w:lang w:val="es-ES"/>
        </w:rPr>
        <w:t xml:space="preserve">exponen </w:t>
      </w:r>
      <w:r w:rsidRPr="006B66E8">
        <w:rPr>
          <w:rFonts w:ascii="Verdana" w:hAnsi="Verdana"/>
          <w:sz w:val="20"/>
          <w:szCs w:val="20"/>
          <w:lang w:val="es-ES"/>
        </w:rPr>
        <w:t>las inquietudes de la OMM en lo concerniente:</w:t>
      </w:r>
    </w:p>
    <w:p w14:paraId="114B2371" w14:textId="77777777" w:rsidR="008907B5" w:rsidRPr="006B66E8" w:rsidRDefault="008907B5" w:rsidP="00081B6C">
      <w:pPr>
        <w:pStyle w:val="ListParagraph"/>
        <w:numPr>
          <w:ilvl w:val="0"/>
          <w:numId w:val="2"/>
        </w:numPr>
        <w:suppressAutoHyphens/>
        <w:autoSpaceDN w:val="0"/>
        <w:spacing w:before="240" w:after="240"/>
        <w:ind w:left="567" w:right="-170" w:hanging="567"/>
        <w:jc w:val="left"/>
        <w:textAlignment w:val="baseline"/>
        <w:rPr>
          <w:rFonts w:ascii="Verdana" w:hAnsi="Verdana" w:cs="Angsana New"/>
          <w:sz w:val="20"/>
          <w:szCs w:val="20"/>
          <w:lang w:val="es-ES"/>
        </w:rPr>
      </w:pPr>
      <w:r w:rsidRPr="006B66E8">
        <w:rPr>
          <w:rFonts w:ascii="Verdana" w:hAnsi="Verdana"/>
          <w:sz w:val="20"/>
          <w:szCs w:val="20"/>
          <w:lang w:val="es-ES"/>
        </w:rPr>
        <w:t>a la Resolución 731 del Sector de Radiocomunicaciones (UIT-R), que actualmente se aborda en el UIT-R como seguimiento de la C</w:t>
      </w:r>
      <w:r w:rsidR="008D76C5" w:rsidRPr="006B66E8">
        <w:rPr>
          <w:rFonts w:ascii="Verdana" w:hAnsi="Verdana"/>
          <w:sz w:val="20"/>
          <w:szCs w:val="20"/>
          <w:lang w:val="es-ES"/>
        </w:rPr>
        <w:t xml:space="preserve">onferencia Mundial de </w:t>
      </w:r>
      <w:r w:rsidRPr="006B66E8">
        <w:rPr>
          <w:rFonts w:ascii="Verdana" w:hAnsi="Verdana"/>
          <w:sz w:val="20"/>
          <w:szCs w:val="20"/>
          <w:lang w:val="es-ES"/>
        </w:rPr>
        <w:t>R</w:t>
      </w:r>
      <w:r w:rsidR="008D76C5" w:rsidRPr="006B66E8">
        <w:rPr>
          <w:rFonts w:ascii="Verdana" w:hAnsi="Verdana"/>
          <w:sz w:val="20"/>
          <w:szCs w:val="20"/>
          <w:lang w:val="es-ES"/>
        </w:rPr>
        <w:t>adiocomunicaciones de 20</w:t>
      </w:r>
      <w:r w:rsidRPr="006B66E8">
        <w:rPr>
          <w:rFonts w:ascii="Verdana" w:hAnsi="Verdana"/>
          <w:sz w:val="20"/>
          <w:szCs w:val="20"/>
          <w:lang w:val="es-ES"/>
        </w:rPr>
        <w:t>19;</w:t>
      </w:r>
    </w:p>
    <w:p w14:paraId="114B2372" w14:textId="77777777" w:rsidR="008907B5" w:rsidRPr="006B66E8" w:rsidRDefault="008907B5" w:rsidP="00081B6C">
      <w:pPr>
        <w:pStyle w:val="ListParagraph"/>
        <w:numPr>
          <w:ilvl w:val="0"/>
          <w:numId w:val="2"/>
        </w:numPr>
        <w:suppressAutoHyphens/>
        <w:autoSpaceDN w:val="0"/>
        <w:spacing w:before="240" w:after="240"/>
        <w:ind w:left="567" w:right="-170" w:hanging="567"/>
        <w:jc w:val="left"/>
        <w:textAlignment w:val="baseline"/>
        <w:rPr>
          <w:rFonts w:ascii="Verdana" w:hAnsi="Verdana" w:cs="Angsana New"/>
          <w:sz w:val="20"/>
          <w:szCs w:val="20"/>
          <w:lang w:val="es-ES"/>
        </w:rPr>
      </w:pPr>
      <w:r w:rsidRPr="006B66E8">
        <w:rPr>
          <w:rFonts w:ascii="Verdana" w:hAnsi="Verdana"/>
          <w:sz w:val="20"/>
          <w:szCs w:val="20"/>
          <w:lang w:val="es-ES"/>
        </w:rPr>
        <w:t>a las posibles repercusiones que un punto del orden del día de la Conferencia Mundial de Radiocomunicaciones de 2023 podría tener en las observaciones por satélite cruciales realizadas en las bandas de frecuencias de 6 425-7 075 MHz y 7 075-7 250 MHz.</w:t>
      </w:r>
    </w:p>
    <w:p w14:paraId="114B2373" w14:textId="77777777" w:rsidR="008907B5" w:rsidRPr="006B66E8" w:rsidRDefault="008907B5" w:rsidP="005C53F9">
      <w:pPr>
        <w:pStyle w:val="Heading2"/>
        <w:tabs>
          <w:tab w:val="left" w:pos="1134"/>
        </w:tabs>
        <w:spacing w:after="240"/>
        <w:jc w:val="left"/>
        <w:rPr>
          <w:b w:val="0"/>
          <w:bCs w:val="0"/>
          <w:sz w:val="20"/>
          <w:szCs w:val="20"/>
          <w:lang w:val="es-ES"/>
        </w:rPr>
      </w:pPr>
      <w:r w:rsidRPr="006B66E8">
        <w:rPr>
          <w:sz w:val="20"/>
          <w:szCs w:val="20"/>
          <w:lang w:val="es-ES"/>
        </w:rPr>
        <w:t xml:space="preserve">2. </w:t>
      </w:r>
      <w:r w:rsidRPr="006B66E8">
        <w:rPr>
          <w:sz w:val="20"/>
          <w:szCs w:val="20"/>
          <w:lang w:val="es-ES"/>
        </w:rPr>
        <w:tab/>
        <w:t>Observaciones generales</w:t>
      </w:r>
    </w:p>
    <w:p w14:paraId="114B2374" w14:textId="77777777" w:rsidR="008907B5" w:rsidRPr="006B66E8" w:rsidRDefault="008907B5" w:rsidP="008907B5">
      <w:pPr>
        <w:pStyle w:val="ListParagraph"/>
        <w:spacing w:before="240" w:after="240"/>
        <w:jc w:val="left"/>
        <w:rPr>
          <w:rFonts w:ascii="Verdana" w:hAnsi="Verdana"/>
          <w:sz w:val="20"/>
          <w:szCs w:val="20"/>
          <w:lang w:val="es-ES"/>
        </w:rPr>
      </w:pPr>
      <w:bookmarkStart w:id="9" w:name="_Hlk65482703"/>
      <w:r w:rsidRPr="006B66E8">
        <w:rPr>
          <w:rFonts w:ascii="Verdana" w:hAnsi="Verdana"/>
          <w:sz w:val="20"/>
          <w:szCs w:val="20"/>
          <w:lang w:val="es-ES"/>
        </w:rPr>
        <w:t>El WIGOS consta de componentes que utilizan un gran número de aplicaciones y servicios de radiocomunicaciones distintos, algunos de los cuales podrían verse afectados por las decisiones adoptadas en el marco de la Conferencia Mundial de Radiocomunicaciones de 2023.</w:t>
      </w:r>
    </w:p>
    <w:bookmarkEnd w:id="9"/>
    <w:p w14:paraId="114B2375"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La observación de parámetros atmosféricos y de la superficie de la Tierra mediante instrumentos de detección instalados a bordo de vehículos espaciales reviste una importancia decisiva y cada vez mayor para la meteorología de investigación y operativa, en particular para mitigar las consecuencias de los desastres de índole meteorológica, hidrológica y climática, así como para la comprensión científica, el monitoreo y la predicción del cambio climático y sus efectos.</w:t>
      </w:r>
    </w:p>
    <w:p w14:paraId="114B2376"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Los enormes progresos realizados en los últimos años en cuanto a análisis y predicción de los fenómenos meteorológicos, hidrológicos y climáticos, incluidos los avisos sobre fenómenos meteorológicos peligrosos (fuertes lluvias, tormentas</w:t>
      </w:r>
      <w:r w:rsidR="005767E1" w:rsidRPr="006B66E8">
        <w:rPr>
          <w:rFonts w:ascii="Verdana" w:hAnsi="Verdana"/>
          <w:sz w:val="20"/>
          <w:szCs w:val="20"/>
          <w:lang w:val="es-ES"/>
        </w:rPr>
        <w:t xml:space="preserve"> y</w:t>
      </w:r>
      <w:r w:rsidRPr="006B66E8">
        <w:rPr>
          <w:rFonts w:ascii="Verdana" w:hAnsi="Verdana"/>
          <w:sz w:val="20"/>
          <w:szCs w:val="20"/>
          <w:lang w:val="es-ES"/>
        </w:rPr>
        <w:t xml:space="preserve"> ciclones) que afectan a todas las poblaciones y economías, pueden atribuirse en gran medida a las observaciones realizadas desde el espacio y su asimilación en modelos numéricos.</w:t>
      </w:r>
    </w:p>
    <w:p w14:paraId="114B2377" w14:textId="77777777" w:rsidR="008907B5" w:rsidRPr="006B66E8" w:rsidRDefault="008907B5" w:rsidP="005C53F9">
      <w:pPr>
        <w:pStyle w:val="Paragraph"/>
        <w:tabs>
          <w:tab w:val="left" w:pos="1134"/>
        </w:tabs>
        <w:spacing w:before="240" w:after="240"/>
        <w:jc w:val="left"/>
        <w:rPr>
          <w:rFonts w:ascii="Verdana" w:hAnsi="Verdana"/>
          <w:b/>
          <w:bCs/>
          <w:sz w:val="20"/>
          <w:szCs w:val="20"/>
          <w:lang w:val="es-ES"/>
        </w:rPr>
      </w:pPr>
      <w:r w:rsidRPr="006B66E8">
        <w:rPr>
          <w:rFonts w:ascii="Verdana" w:hAnsi="Verdana"/>
          <w:b/>
          <w:bCs/>
          <w:sz w:val="20"/>
          <w:szCs w:val="20"/>
          <w:lang w:val="es-ES"/>
        </w:rPr>
        <w:t>2.1</w:t>
      </w:r>
      <w:r w:rsidRPr="006B66E8">
        <w:rPr>
          <w:rFonts w:ascii="Verdana" w:hAnsi="Verdana"/>
          <w:sz w:val="20"/>
          <w:szCs w:val="20"/>
          <w:lang w:val="es-ES"/>
        </w:rPr>
        <w:tab/>
      </w:r>
      <w:r w:rsidRPr="006B66E8">
        <w:rPr>
          <w:rFonts w:ascii="Verdana" w:hAnsi="Verdana"/>
          <w:b/>
          <w:bCs/>
          <w:sz w:val="20"/>
          <w:szCs w:val="20"/>
          <w:lang w:val="es-ES"/>
        </w:rPr>
        <w:t>Observaciones desde el espacio</w:t>
      </w:r>
    </w:p>
    <w:p w14:paraId="114B2378"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La detección pasiva realizada desde vehículos espaciales para aplicaciones meteorológicas se efectúa en las bandas atribuidas al servicio de exploración de la Tierra por satélite (SETS) (pasivo) y al servicio de meteorología por satélite (MetSat). Para la detección pasiva se requiere la medición de las radiaciones de origen natural —cuyos niveles de potencia son a menudo muy bajos— porque aportan información esencial sobre el proceso físico objeto de estudio. </w:t>
      </w:r>
    </w:p>
    <w:p w14:paraId="114B2379"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lastRenderedPageBreak/>
        <w:t>Las bandas de frecuencias pertinentes se determinan en función de propiedades físicas fijas (resonancia molecular) que no pueden modificarse ni ignorarse; dichas propiedades físicas no pueden duplicarse en otras bandas. Por consiguiente, esas bandas de frecuencias son un recurso natural importante. Las interferencias, incluso en niveles bajos, recibidas por un sensor pasivo pueden degradar los datos obtenidos con ese instrumento. Además, en la mayoría de los casos, esos sensores no son capaces de hacer una distinción entre las radiaciones naturales y las generadas por el hombre.</w:t>
      </w:r>
    </w:p>
    <w:p w14:paraId="114B237A"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En el caso de las bandas de detección pasiva compartidas con servicios activos, la situación tiende a ser cada vez más crítica por la creciente densidad de dispositivos terrenales activos, y se ha informado de casos de interferencia graves.</w:t>
      </w:r>
    </w:p>
    <w:p w14:paraId="114B237B"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En lo que respecta a las bandas de frecuencias de detección pasiva más importantes, y teniendo en cuenta que en la </w:t>
      </w:r>
      <w:r w:rsidRPr="006B66E8">
        <w:rPr>
          <w:rFonts w:ascii="Verdana" w:hAnsi="Verdana"/>
          <w:b/>
          <w:bCs/>
          <w:sz w:val="20"/>
          <w:szCs w:val="20"/>
          <w:lang w:val="es-ES"/>
        </w:rPr>
        <w:t xml:space="preserve">nota 5.340 </w:t>
      </w:r>
      <w:r w:rsidRPr="006B66E8">
        <w:rPr>
          <w:rFonts w:ascii="Verdana" w:hAnsi="Verdana"/>
          <w:sz w:val="20"/>
          <w:szCs w:val="20"/>
          <w:lang w:val="es-ES"/>
        </w:rPr>
        <w:t>del Reglamento de Radiocomunicaciones</w:t>
      </w:r>
      <w:r w:rsidRPr="006B66E8">
        <w:rPr>
          <w:rStyle w:val="FootnoteReference"/>
          <w:rFonts w:ascii="Verdana" w:hAnsi="Verdana"/>
          <w:sz w:val="20"/>
          <w:szCs w:val="20"/>
          <w:lang w:val="es-ES"/>
        </w:rPr>
        <w:footnoteReference w:id="4"/>
      </w:r>
      <w:r w:rsidRPr="006B66E8">
        <w:rPr>
          <w:rFonts w:ascii="Verdana" w:hAnsi="Verdana"/>
          <w:sz w:val="20"/>
          <w:szCs w:val="20"/>
          <w:lang w:val="es-ES"/>
        </w:rPr>
        <w:t xml:space="preserve"> se indica que </w:t>
      </w:r>
      <w:r w:rsidR="00B873C1" w:rsidRPr="006B66E8">
        <w:rPr>
          <w:rFonts w:ascii="Verdana" w:hAnsi="Verdana"/>
          <w:sz w:val="20"/>
          <w:szCs w:val="20"/>
          <w:lang w:val="es-ES"/>
        </w:rPr>
        <w:t>"</w:t>
      </w:r>
      <w:r w:rsidRPr="006B66E8">
        <w:rPr>
          <w:rFonts w:ascii="Verdana" w:hAnsi="Verdana"/>
          <w:sz w:val="20"/>
          <w:szCs w:val="20"/>
          <w:lang w:val="es-ES"/>
        </w:rPr>
        <w:t>se prohíben todas las emisiones</w:t>
      </w:r>
      <w:r w:rsidR="00B873C1" w:rsidRPr="006B66E8">
        <w:rPr>
          <w:rFonts w:ascii="Verdana" w:hAnsi="Verdana"/>
          <w:sz w:val="20"/>
          <w:szCs w:val="20"/>
          <w:lang w:val="es-ES"/>
        </w:rPr>
        <w:t>"</w:t>
      </w:r>
      <w:r w:rsidRPr="006B66E8">
        <w:rPr>
          <w:rFonts w:ascii="Verdana" w:hAnsi="Verdana"/>
          <w:sz w:val="20"/>
          <w:szCs w:val="20"/>
          <w:lang w:val="es-ES"/>
        </w:rPr>
        <w:t xml:space="preserve">, los sistemas de los servicios pasivos pueden, en principio, desplegarse y operar con la máxima fiabilidad. No obstante, en algunos casos esa protección resulta insuficiente porque en dichas bandas se autoriza a nivel nacional el funcionamiento de dispositivos de corto alcance no reglamentados y posiblemente a escala masiva, o bien se producen emisiones no deseadas desde bandas adyacentes no reguladas correctamente. Varios parámetros geofísicos contribuyen, en diversos grados, a las emisiones de origen natural, </w:t>
      </w:r>
      <w:r w:rsidR="00C94A28" w:rsidRPr="006B66E8">
        <w:rPr>
          <w:rFonts w:ascii="Verdana" w:hAnsi="Verdana"/>
          <w:sz w:val="20"/>
          <w:szCs w:val="20"/>
          <w:lang w:val="es-ES"/>
        </w:rPr>
        <w:t xml:space="preserve">que </w:t>
      </w:r>
      <w:r w:rsidRPr="006B66E8">
        <w:rPr>
          <w:rFonts w:ascii="Verdana" w:hAnsi="Verdana"/>
          <w:sz w:val="20"/>
          <w:szCs w:val="20"/>
          <w:lang w:val="es-ES"/>
        </w:rPr>
        <w:t xml:space="preserve">pueden observarse a una frecuencia dada </w:t>
      </w:r>
      <w:r w:rsidR="009A3D87" w:rsidRPr="006B66E8">
        <w:rPr>
          <w:rFonts w:ascii="Verdana" w:hAnsi="Verdana"/>
          <w:sz w:val="20"/>
          <w:szCs w:val="20"/>
          <w:lang w:val="es-ES"/>
        </w:rPr>
        <w:t xml:space="preserve">y </w:t>
      </w:r>
      <w:r w:rsidRPr="006B66E8">
        <w:rPr>
          <w:rFonts w:ascii="Verdana" w:hAnsi="Verdana"/>
          <w:sz w:val="20"/>
          <w:szCs w:val="20"/>
          <w:lang w:val="es-ES"/>
        </w:rPr>
        <w:t>presenta</w:t>
      </w:r>
      <w:r w:rsidR="009A3D87" w:rsidRPr="006B66E8">
        <w:rPr>
          <w:rFonts w:ascii="Verdana" w:hAnsi="Verdana"/>
          <w:sz w:val="20"/>
          <w:szCs w:val="20"/>
          <w:lang w:val="es-ES"/>
        </w:rPr>
        <w:t>n</w:t>
      </w:r>
      <w:r w:rsidRPr="006B66E8">
        <w:rPr>
          <w:rFonts w:ascii="Verdana" w:hAnsi="Verdana"/>
          <w:sz w:val="20"/>
          <w:szCs w:val="20"/>
          <w:lang w:val="es-ES"/>
        </w:rPr>
        <w:t xml:space="preserve"> propiedades singulares. Por tanto, deben efectuarse simultáneamente mediciones </w:t>
      </w:r>
      <w:r w:rsidR="00BC12D1" w:rsidRPr="006B66E8">
        <w:rPr>
          <w:rFonts w:ascii="Verdana" w:hAnsi="Verdana"/>
          <w:sz w:val="20"/>
          <w:szCs w:val="20"/>
          <w:lang w:val="es-ES"/>
        </w:rPr>
        <w:t xml:space="preserve">en </w:t>
      </w:r>
      <w:r w:rsidRPr="006B66E8">
        <w:rPr>
          <w:rFonts w:ascii="Verdana" w:hAnsi="Verdana"/>
          <w:sz w:val="20"/>
          <w:szCs w:val="20"/>
          <w:lang w:val="es-ES"/>
        </w:rPr>
        <w:t xml:space="preserve">varias frecuencias </w:t>
      </w:r>
      <w:r w:rsidR="00BC12D1" w:rsidRPr="006B66E8">
        <w:rPr>
          <w:rFonts w:ascii="Verdana" w:hAnsi="Verdana"/>
          <w:sz w:val="20"/>
          <w:szCs w:val="20"/>
          <w:lang w:val="es-ES"/>
        </w:rPr>
        <w:t>d</w:t>
      </w:r>
      <w:r w:rsidRPr="006B66E8">
        <w:rPr>
          <w:rFonts w:ascii="Verdana" w:hAnsi="Verdana"/>
          <w:sz w:val="20"/>
          <w:szCs w:val="20"/>
          <w:lang w:val="es-ES"/>
        </w:rPr>
        <w:t>el espectro de microondas para aislar y recuperar cada una de las contribuciones individuales y para extraer los parámetros de interés del conjunto de mediciones en cuestión.</w:t>
      </w:r>
    </w:p>
    <w:p w14:paraId="114B237C"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Como consecuencia de ello, una interferencia que afecte a una banda de frecuencias </w:t>
      </w:r>
      <w:r w:rsidR="00B873C1" w:rsidRPr="006B66E8">
        <w:rPr>
          <w:rFonts w:ascii="Verdana" w:hAnsi="Verdana"/>
          <w:sz w:val="20"/>
          <w:szCs w:val="20"/>
          <w:lang w:val="es-ES"/>
        </w:rPr>
        <w:t>"</w:t>
      </w:r>
      <w:r w:rsidRPr="006B66E8">
        <w:rPr>
          <w:rFonts w:ascii="Verdana" w:hAnsi="Verdana"/>
          <w:sz w:val="20"/>
          <w:szCs w:val="20"/>
          <w:lang w:val="es-ES"/>
        </w:rPr>
        <w:t>pasiva</w:t>
      </w:r>
      <w:r w:rsidR="00B873C1" w:rsidRPr="006B66E8">
        <w:rPr>
          <w:rFonts w:ascii="Verdana" w:hAnsi="Verdana"/>
          <w:sz w:val="20"/>
          <w:szCs w:val="20"/>
          <w:lang w:val="es-ES"/>
        </w:rPr>
        <w:t>"</w:t>
      </w:r>
      <w:r w:rsidRPr="006B66E8">
        <w:rPr>
          <w:rFonts w:ascii="Verdana" w:hAnsi="Verdana"/>
          <w:sz w:val="20"/>
          <w:szCs w:val="20"/>
          <w:lang w:val="es-ES"/>
        </w:rPr>
        <w:t xml:space="preserve"> dada puede causar perturbaciones en la medición total de un determinado componente atmosférico.</w:t>
      </w:r>
    </w:p>
    <w:p w14:paraId="114B237D"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De ahí que no pueda considerarse cada banda de frecuencias pasiva de forma independiente, sino como un componente complementario de un sistema completo de detección pasiva a bordo de vehículos espaciales. Las actuales cargas útiles de los satélites científicos y meteorológicos no se dedican a una banda determinada, sino que incluyen numerosos instrumentos diferentes que efectúan mediciones en todo el conjunto de bandas pasivas.</w:t>
      </w:r>
    </w:p>
    <w:p w14:paraId="114B237E"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Cabe señalar, asimismo, que la cobertura total de datos mundiales es de particular importancia para la mayoría de los servicios y aplicaciones meteorológicos, hidrológicos y climáticos. </w:t>
      </w:r>
    </w:p>
    <w:p w14:paraId="114B237F"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La detección activa a bordo de vehículos espaciales, realizada con altímetros, radares de lluvia y nubes, dispersómetros y radares de abertura sintética</w:t>
      </w:r>
      <w:r w:rsidR="00BF631F" w:rsidRPr="006B66E8">
        <w:rPr>
          <w:rFonts w:ascii="Verdana" w:hAnsi="Verdana"/>
          <w:sz w:val="20"/>
          <w:szCs w:val="20"/>
          <w:lang w:val="es-ES"/>
        </w:rPr>
        <w:t xml:space="preserve"> (SAR)</w:t>
      </w:r>
      <w:r w:rsidRPr="006B66E8">
        <w:rPr>
          <w:rStyle w:val="FootnoteReference"/>
          <w:rFonts w:ascii="Verdana" w:hAnsi="Verdana"/>
          <w:sz w:val="20"/>
          <w:szCs w:val="20"/>
          <w:lang w:val="es-ES"/>
        </w:rPr>
        <w:footnoteReference w:id="5"/>
      </w:r>
      <w:r w:rsidRPr="006B66E8">
        <w:rPr>
          <w:rFonts w:ascii="Verdana" w:hAnsi="Verdana"/>
          <w:sz w:val="20"/>
          <w:szCs w:val="20"/>
          <w:lang w:val="es-ES"/>
        </w:rPr>
        <w:t>, proporciona a las actividades meteorológicas y climatológicas importante información sobre el estado de las superficies oceánicas, terrestres y de hielo, así como sobre los fenómenos atmosféricos.</w:t>
      </w:r>
    </w:p>
    <w:p w14:paraId="114B2380"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También es sumamente importante que el SETS y el MetSat dispongan de un espectro de frecuencias radioeléctricas suficiente y bien protegido para fines de telemetría y telemando (2 200-2 290 MHz y 2 025-2 110 MHz), así como para el enlace descendente de los satélites para la transmisión de los datos recopilados (1 675-1 710 MHz, 7 450-7 550 MHz, 7 750</w:t>
      </w:r>
      <w:r w:rsidRPr="006B66E8">
        <w:rPr>
          <w:rFonts w:ascii="Verdana" w:hAnsi="Verdana"/>
          <w:sz w:val="20"/>
          <w:szCs w:val="20"/>
          <w:lang w:val="es-ES"/>
        </w:rPr>
        <w:noBreakHyphen/>
        <w:t>7 900 MHz, 8 025-8 400 MHz y 25,5-27 GHz).</w:t>
      </w:r>
    </w:p>
    <w:p w14:paraId="114B2381" w14:textId="77777777" w:rsidR="005C53F9" w:rsidRPr="006B66E8" w:rsidRDefault="005C53F9">
      <w:pPr>
        <w:tabs>
          <w:tab w:val="clear" w:pos="1134"/>
        </w:tabs>
        <w:jc w:val="left"/>
        <w:rPr>
          <w:rFonts w:eastAsia="Times New Roman" w:cs="Times New Roman"/>
          <w:b/>
          <w:bCs/>
          <w:lang w:val="es-ES" w:eastAsia="fr-FR"/>
        </w:rPr>
      </w:pPr>
      <w:r w:rsidRPr="006B66E8">
        <w:rPr>
          <w:b/>
          <w:bCs/>
          <w:lang w:val="es-ES"/>
        </w:rPr>
        <w:br w:type="page"/>
      </w:r>
    </w:p>
    <w:p w14:paraId="114B2382" w14:textId="77777777" w:rsidR="008907B5" w:rsidRPr="006B66E8" w:rsidRDefault="008907B5" w:rsidP="005C53F9">
      <w:pPr>
        <w:pStyle w:val="Paragraph"/>
        <w:tabs>
          <w:tab w:val="left" w:pos="1134"/>
        </w:tabs>
        <w:spacing w:before="240" w:after="240"/>
        <w:jc w:val="left"/>
        <w:rPr>
          <w:rFonts w:ascii="Verdana" w:hAnsi="Verdana"/>
          <w:sz w:val="20"/>
          <w:szCs w:val="20"/>
          <w:lang w:val="es-ES"/>
        </w:rPr>
      </w:pPr>
      <w:r w:rsidRPr="006B66E8">
        <w:rPr>
          <w:rFonts w:ascii="Verdana" w:hAnsi="Verdana"/>
          <w:b/>
          <w:bCs/>
          <w:sz w:val="20"/>
          <w:szCs w:val="20"/>
          <w:lang w:val="es-ES"/>
        </w:rPr>
        <w:lastRenderedPageBreak/>
        <w:t>2.2</w:t>
      </w:r>
      <w:r w:rsidRPr="006B66E8">
        <w:rPr>
          <w:rFonts w:ascii="Verdana" w:hAnsi="Verdana"/>
          <w:sz w:val="20"/>
          <w:szCs w:val="20"/>
          <w:lang w:val="es-ES"/>
        </w:rPr>
        <w:t xml:space="preserve"> </w:t>
      </w:r>
      <w:r w:rsidRPr="006B66E8">
        <w:rPr>
          <w:rFonts w:ascii="Verdana" w:hAnsi="Verdana"/>
          <w:sz w:val="20"/>
          <w:szCs w:val="20"/>
          <w:lang w:val="es-ES"/>
        </w:rPr>
        <w:tab/>
      </w:r>
      <w:r w:rsidRPr="006B66E8">
        <w:rPr>
          <w:rFonts w:ascii="Verdana" w:hAnsi="Verdana"/>
          <w:b/>
          <w:bCs/>
          <w:sz w:val="20"/>
          <w:szCs w:val="20"/>
          <w:lang w:val="es-ES"/>
        </w:rPr>
        <w:t xml:space="preserve">Observaciones en superficie e </w:t>
      </w:r>
      <w:r w:rsidRPr="006B66E8">
        <w:rPr>
          <w:rFonts w:ascii="Verdana" w:hAnsi="Verdana"/>
          <w:b/>
          <w:bCs/>
          <w:i/>
          <w:iCs/>
          <w:sz w:val="20"/>
          <w:szCs w:val="20"/>
          <w:lang w:val="es-ES"/>
        </w:rPr>
        <w:t>in situ</w:t>
      </w:r>
    </w:p>
    <w:p w14:paraId="114B2383"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Además, los radares meteorológicos y los radares perfiladores de viento son importantes instrumentos de superficie para los procesos de observación meteorológica. Los datos de radar alimentan los modelos de predicción inmediata y de predicción numérica del tiempo (PNT) que proporcionan predicciones a corto y medio plazo. En la actualidad hay un centenar de radares perfiladores de viento y varios centenares de radares meteorológicos en todo el mundo que realizan mediciones del viento y de la precipitación, respectivamente. Estos sistemas desempeñan un papel fundamental en los procesos de alerta inmediata por fenómenos meteorológicos e hidrológicos. Las redes de radares meteorológicos constituyen la última línea de defensa en una estrategia basada en la emisión de avisos de desastre para luchar contra la pérdida de vidas y bienes cuando se producen crecidas repentinas o tormentas violentas, como se ha podido comprobar en varios sucesos dramáticos ocurridos recientemente. </w:t>
      </w:r>
    </w:p>
    <w:p w14:paraId="114B2384"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Los sistemas de ayudas a la meteorología —en particular las radiosondas— son la principal fuente de mediciones atmosféricas </w:t>
      </w:r>
      <w:r w:rsidRPr="006B66E8">
        <w:rPr>
          <w:rFonts w:ascii="Verdana" w:hAnsi="Verdana"/>
          <w:i/>
          <w:iCs/>
          <w:sz w:val="20"/>
          <w:szCs w:val="20"/>
          <w:lang w:val="es-ES"/>
        </w:rPr>
        <w:t>in situ</w:t>
      </w:r>
      <w:r w:rsidRPr="006B66E8">
        <w:rPr>
          <w:rFonts w:ascii="Verdana" w:hAnsi="Verdana"/>
          <w:sz w:val="20"/>
          <w:szCs w:val="20"/>
          <w:lang w:val="es-ES"/>
        </w:rPr>
        <w:t xml:space="preserve"> con gran resolución vertical (temperatura, humedad relativa y velocidad del viento) que permite obtener perfiles atmosféricos verticales en tiempo real</w:t>
      </w:r>
      <w:r w:rsidR="00CC4FBD" w:rsidRPr="006B66E8">
        <w:rPr>
          <w:rFonts w:ascii="Verdana" w:hAnsi="Verdana"/>
          <w:sz w:val="20"/>
          <w:szCs w:val="20"/>
          <w:lang w:val="es-ES"/>
        </w:rPr>
        <w:t>,</w:t>
      </w:r>
      <w:r w:rsidRPr="006B66E8">
        <w:rPr>
          <w:rFonts w:ascii="Verdana" w:hAnsi="Verdana"/>
          <w:sz w:val="20"/>
          <w:szCs w:val="20"/>
          <w:lang w:val="es-ES"/>
        </w:rPr>
        <w:t xml:space="preserve"> que son y seguirán siendo esenciales para la meteorología operativa, especialmente para los avisos, las predicciones y los análisis meteorológicos, así como para el monitoreo del clima. Además, esas mediciones </w:t>
      </w:r>
      <w:r w:rsidRPr="006B66E8">
        <w:rPr>
          <w:rFonts w:ascii="Verdana" w:hAnsi="Verdana"/>
          <w:i/>
          <w:iCs/>
          <w:sz w:val="20"/>
          <w:szCs w:val="20"/>
          <w:lang w:val="es-ES"/>
        </w:rPr>
        <w:t xml:space="preserve">in situ </w:t>
      </w:r>
      <w:r w:rsidRPr="006B66E8">
        <w:rPr>
          <w:rFonts w:ascii="Verdana" w:hAnsi="Verdana"/>
          <w:sz w:val="20"/>
          <w:szCs w:val="20"/>
          <w:lang w:val="es-ES"/>
        </w:rPr>
        <w:t>son fundamentales para la calibración de instrumentos de teledetección a bordo de vehículos espaciales, en particular los sensores pasivos.</w:t>
      </w:r>
    </w:p>
    <w:p w14:paraId="114B2385"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En el Decimoctavo Congreso Meteorológico Mundial (Ginebra, junio de 2019), al que asistieron 193 países Miembros, se confirmaron las graves inquietudes que suscita la continua amenaza a las bandas de frecuencias radioeléctricas atribuidas a los sistemas meteorológicos y medioambientales conexos, y se aprobó la </w:t>
      </w:r>
      <w:hyperlink r:id="rId14" w:anchor="page=168" w:history="1">
        <w:r w:rsidR="00255975" w:rsidRPr="006B66E8">
          <w:rPr>
            <w:rStyle w:val="Hyperlink"/>
            <w:rFonts w:ascii="Verdana" w:hAnsi="Verdana"/>
            <w:sz w:val="20"/>
            <w:szCs w:val="20"/>
            <w:lang w:val="es-ES"/>
          </w:rPr>
          <w:t>Resolución 42 (Cg-18)</w:t>
        </w:r>
      </w:hyperlink>
      <w:r w:rsidR="00255975" w:rsidRPr="006B66E8">
        <w:rPr>
          <w:rFonts w:ascii="Verdana" w:hAnsi="Verdana"/>
          <w:sz w:val="20"/>
          <w:szCs w:val="20"/>
          <w:lang w:val="es-ES"/>
        </w:rPr>
        <w:t xml:space="preserve"> — Frecuencias radioeléctricas para las actividades meteorológicas y medioambientales conexas</w:t>
      </w:r>
      <w:r w:rsidRPr="006B66E8">
        <w:rPr>
          <w:rFonts w:ascii="Verdana" w:hAnsi="Verdana"/>
          <w:sz w:val="20"/>
          <w:szCs w:val="20"/>
          <w:lang w:val="es-ES"/>
        </w:rPr>
        <w:t xml:space="preserve">, en la cual se insta a todos los países Miembros de la OMM a hacer todo lo posible para asegurar la disponibilidad y </w:t>
      </w:r>
      <w:r w:rsidR="00A639DC" w:rsidRPr="006B66E8">
        <w:rPr>
          <w:rFonts w:ascii="Verdana" w:hAnsi="Verdana"/>
          <w:sz w:val="20"/>
          <w:szCs w:val="20"/>
          <w:lang w:val="es-ES"/>
        </w:rPr>
        <w:t xml:space="preserve">la </w:t>
      </w:r>
      <w:r w:rsidRPr="006B66E8">
        <w:rPr>
          <w:rFonts w:ascii="Verdana" w:hAnsi="Verdana"/>
          <w:sz w:val="20"/>
          <w:szCs w:val="20"/>
          <w:lang w:val="es-ES"/>
        </w:rPr>
        <w:t>protección de las bandas de frecuencias radioeléctricas necesarias para las operaciones y las investigaciones meteorológicas y medioambientales conexas.</w:t>
      </w:r>
    </w:p>
    <w:p w14:paraId="114B2386" w14:textId="77777777" w:rsidR="008907B5" w:rsidRPr="006B66E8" w:rsidRDefault="008907B5" w:rsidP="005C53F9">
      <w:pPr>
        <w:pStyle w:val="Paragraph"/>
        <w:tabs>
          <w:tab w:val="left" w:pos="1134"/>
        </w:tabs>
        <w:spacing w:before="240" w:after="240"/>
        <w:jc w:val="left"/>
        <w:rPr>
          <w:rFonts w:ascii="Verdana" w:hAnsi="Verdana"/>
          <w:sz w:val="20"/>
          <w:szCs w:val="20"/>
          <w:lang w:val="es-ES"/>
        </w:rPr>
      </w:pPr>
      <w:r w:rsidRPr="006B66E8">
        <w:rPr>
          <w:rFonts w:ascii="Verdana" w:hAnsi="Verdana"/>
          <w:b/>
          <w:bCs/>
          <w:sz w:val="20"/>
          <w:szCs w:val="20"/>
          <w:lang w:val="es-ES"/>
        </w:rPr>
        <w:t>2.3</w:t>
      </w:r>
      <w:r w:rsidRPr="006B66E8">
        <w:rPr>
          <w:rFonts w:ascii="Verdana" w:hAnsi="Verdana"/>
          <w:sz w:val="20"/>
          <w:szCs w:val="20"/>
          <w:lang w:val="es-ES"/>
        </w:rPr>
        <w:t xml:space="preserve"> </w:t>
      </w:r>
      <w:r w:rsidRPr="006B66E8">
        <w:rPr>
          <w:rFonts w:ascii="Verdana" w:hAnsi="Verdana"/>
          <w:sz w:val="20"/>
          <w:szCs w:val="20"/>
          <w:lang w:val="es-ES"/>
        </w:rPr>
        <w:tab/>
      </w:r>
      <w:r w:rsidRPr="006B66E8">
        <w:rPr>
          <w:rFonts w:ascii="Verdana" w:hAnsi="Verdana"/>
          <w:b/>
          <w:bCs/>
          <w:sz w:val="20"/>
          <w:szCs w:val="20"/>
          <w:lang w:val="es-ES"/>
        </w:rPr>
        <w:t>Iniciativas de la Organización Meteorológica Mundial</w:t>
      </w:r>
    </w:p>
    <w:p w14:paraId="114B2387"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El Decimoctavo Congreso Meteorológico Mundial (Ginebra, junio de 2019) recalc</w:t>
      </w:r>
      <w:r w:rsidR="00345B6D" w:rsidRPr="006B66E8">
        <w:rPr>
          <w:rFonts w:ascii="Verdana" w:hAnsi="Verdana"/>
          <w:sz w:val="20"/>
          <w:szCs w:val="20"/>
          <w:lang w:val="es-ES"/>
        </w:rPr>
        <w:t>ó</w:t>
      </w:r>
      <w:r w:rsidRPr="006B66E8">
        <w:rPr>
          <w:rFonts w:ascii="Verdana" w:hAnsi="Verdana"/>
          <w:sz w:val="20"/>
          <w:szCs w:val="20"/>
          <w:lang w:val="es-ES"/>
        </w:rPr>
        <w:t xml:space="preserve"> "[...] que algunas bandas de frecuencias radioeléctricas son un recurso natural único debido a sus características especiales y radiación natural que permiten la teledetección pasiva por vehículos espaciales de la atmósfera y la superficie de la Tierra, que merecen una atribución adecuada al servicio de exploración de la Tierra por satélite (pasiva) y una protección absoluta contra las interferencias", y </w:t>
      </w:r>
      <w:r w:rsidR="00345B6D" w:rsidRPr="006B66E8">
        <w:rPr>
          <w:rFonts w:ascii="Verdana" w:hAnsi="Verdana"/>
          <w:sz w:val="20"/>
          <w:szCs w:val="20"/>
          <w:lang w:val="es-ES"/>
        </w:rPr>
        <w:t xml:space="preserve">expresó </w:t>
      </w:r>
      <w:r w:rsidRPr="006B66E8">
        <w:rPr>
          <w:rFonts w:ascii="Verdana" w:hAnsi="Verdana"/>
          <w:sz w:val="20"/>
          <w:szCs w:val="20"/>
          <w:lang w:val="es-ES"/>
        </w:rPr>
        <w:t>"[...] su profunda preocupación por la amenaza continua que plantea el desarrollo de otros servicios de radiocomunicaciones a varias bandas de frecuencias radioeléctricas asignadas a los servicios de ayudas a la meteorología, de satélites meteorológicos, de satélites de exploración de la Tierra y de radiolocalización (radares meteorológicos y perfiladores de viento)".</w:t>
      </w:r>
    </w:p>
    <w:p w14:paraId="114B2388"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Los sistemas de observación dependen de la gestión de las frecuencias radioeléctricas, y ello conlleva repercusiones a largo plazo para la sostenibilidad y la capacidad de utilización de las variables climáticas esenciales y otras observaciones relacionadas con el tiempo, el agua y el clima que contribuyen al pilar de observaciones y </w:t>
      </w:r>
      <w:r w:rsidR="001D0E17" w:rsidRPr="006B66E8">
        <w:rPr>
          <w:rFonts w:ascii="Verdana" w:hAnsi="Verdana"/>
          <w:sz w:val="20"/>
          <w:szCs w:val="20"/>
          <w:lang w:val="es-ES"/>
        </w:rPr>
        <w:t>monitoreo</w:t>
      </w:r>
      <w:r w:rsidRPr="006B66E8">
        <w:rPr>
          <w:rFonts w:ascii="Verdana" w:hAnsi="Verdana"/>
          <w:sz w:val="20"/>
          <w:szCs w:val="20"/>
          <w:lang w:val="es-ES"/>
        </w:rPr>
        <w:t xml:space="preserve"> del Marco Mundial para los Servicios Climáticos (MMSC), según se determinó en el Decimoctavo Congreso Meteorológico Mundial (Ginebra, junio de 2019).</w:t>
      </w:r>
    </w:p>
    <w:p w14:paraId="114B2389" w14:textId="77777777" w:rsidR="008907B5" w:rsidRPr="006B66E8" w:rsidRDefault="008907B5" w:rsidP="002D3080">
      <w:pPr>
        <w:pStyle w:val="Heading2"/>
        <w:tabs>
          <w:tab w:val="left" w:pos="1134"/>
        </w:tabs>
        <w:spacing w:after="240"/>
        <w:ind w:left="1134" w:hanging="1134"/>
        <w:jc w:val="left"/>
        <w:rPr>
          <w:sz w:val="20"/>
          <w:szCs w:val="20"/>
          <w:lang w:val="es-ES"/>
        </w:rPr>
      </w:pPr>
      <w:r w:rsidRPr="006B66E8">
        <w:rPr>
          <w:sz w:val="20"/>
          <w:szCs w:val="20"/>
          <w:lang w:val="es-ES"/>
        </w:rPr>
        <w:t xml:space="preserve">3. </w:t>
      </w:r>
      <w:r w:rsidRPr="006B66E8">
        <w:rPr>
          <w:sz w:val="20"/>
          <w:szCs w:val="20"/>
          <w:lang w:val="es-ES"/>
        </w:rPr>
        <w:tab/>
        <w:t xml:space="preserve">Posición preliminar de la Organización Meteorológica Mundial con respecto </w:t>
      </w:r>
      <w:r w:rsidRPr="006B66E8">
        <w:rPr>
          <w:sz w:val="20"/>
          <w:szCs w:val="20"/>
          <w:lang w:val="es-ES"/>
        </w:rPr>
        <w:br/>
        <w:t>a los puntos del orden del día de la Conferencia Mundial de Radiocomunicaciones de 2023</w:t>
      </w:r>
    </w:p>
    <w:p w14:paraId="114B238A"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Un total de 20 temas o puntos del orden del día de la Conferencia Mundial de Radiocomunicaciones de 2023 están relacionados con las bandas de frecuencias o con </w:t>
      </w:r>
      <w:r w:rsidRPr="006B66E8">
        <w:rPr>
          <w:rFonts w:ascii="Verdana" w:hAnsi="Verdana"/>
          <w:sz w:val="20"/>
          <w:szCs w:val="20"/>
          <w:lang w:val="es-ES"/>
        </w:rPr>
        <w:lastRenderedPageBreak/>
        <w:t>cuestiones que son de sumo interés para la meteorología y otros campos afines o que generan preocupación en esas esferas.</w:t>
      </w:r>
    </w:p>
    <w:p w14:paraId="114B238B"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 xml:space="preserve">Punto 1.2 del orden del día: </w:t>
      </w:r>
      <w:r w:rsidRPr="006B66E8">
        <w:rPr>
          <w:rFonts w:ascii="Verdana" w:hAnsi="Verdana"/>
          <w:sz w:val="20"/>
          <w:szCs w:val="20"/>
          <w:lang w:val="es-ES"/>
        </w:rPr>
        <w:tab/>
        <w:t>Identificación de las bandas de frecuencias para las Telecomunicaciones Móviles Internacionales (IMT), incluidas posibles atribuciones al servicio móvil</w:t>
      </w:r>
    </w:p>
    <w:p w14:paraId="114B238C"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Punto 1.3 del orden del día:</w:t>
      </w:r>
      <w:r w:rsidRPr="006B66E8">
        <w:rPr>
          <w:rFonts w:ascii="Verdana" w:hAnsi="Verdana"/>
          <w:sz w:val="20"/>
          <w:szCs w:val="20"/>
          <w:lang w:val="es-ES"/>
        </w:rPr>
        <w:tab/>
        <w:t>Atribución a título primario de la banda de frecuencias 3</w:t>
      </w:r>
      <w:r w:rsidR="00081B6C" w:rsidRPr="006B66E8">
        <w:rPr>
          <w:rFonts w:ascii="Verdana" w:hAnsi="Verdana"/>
          <w:sz w:val="20"/>
          <w:szCs w:val="20"/>
          <w:lang w:val="es-ES"/>
        </w:rPr>
        <w:t> </w:t>
      </w:r>
      <w:r w:rsidRPr="006B66E8">
        <w:rPr>
          <w:rFonts w:ascii="Verdana" w:hAnsi="Verdana"/>
          <w:sz w:val="20"/>
          <w:szCs w:val="20"/>
          <w:lang w:val="es-ES"/>
        </w:rPr>
        <w:t>600</w:t>
      </w:r>
      <w:r w:rsidR="00081B6C" w:rsidRPr="006B66E8">
        <w:rPr>
          <w:rFonts w:ascii="Verdana" w:hAnsi="Verdana"/>
          <w:sz w:val="20"/>
          <w:szCs w:val="20"/>
          <w:lang w:val="es-ES"/>
        </w:rPr>
        <w:noBreakHyphen/>
      </w:r>
      <w:r w:rsidRPr="006B66E8">
        <w:rPr>
          <w:rFonts w:ascii="Verdana" w:hAnsi="Verdana"/>
          <w:sz w:val="20"/>
          <w:szCs w:val="20"/>
          <w:lang w:val="es-ES"/>
        </w:rPr>
        <w:t>3</w:t>
      </w:r>
      <w:r w:rsidR="00081B6C" w:rsidRPr="006B66E8">
        <w:rPr>
          <w:rFonts w:ascii="Verdana" w:hAnsi="Verdana"/>
          <w:sz w:val="20"/>
          <w:szCs w:val="20"/>
          <w:lang w:val="es-ES"/>
        </w:rPr>
        <w:t> </w:t>
      </w:r>
      <w:r w:rsidRPr="006B66E8">
        <w:rPr>
          <w:rFonts w:ascii="Verdana" w:hAnsi="Verdana"/>
          <w:sz w:val="20"/>
          <w:szCs w:val="20"/>
          <w:lang w:val="es-ES"/>
        </w:rPr>
        <w:t>800 MHz al servicio móvil en la Región 1</w:t>
      </w:r>
      <w:r w:rsidRPr="006B66E8">
        <w:rPr>
          <w:rStyle w:val="FootnoteReference"/>
          <w:rFonts w:ascii="Verdana" w:hAnsi="Verdana" w:cs="Times New Roman"/>
          <w:sz w:val="20"/>
          <w:szCs w:val="20"/>
          <w:lang w:val="es-ES"/>
        </w:rPr>
        <w:footnoteReference w:id="6"/>
      </w:r>
    </w:p>
    <w:p w14:paraId="114B238D"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Punto 1.4 del orden del día:</w:t>
      </w:r>
      <w:r w:rsidRPr="006B66E8">
        <w:rPr>
          <w:rFonts w:ascii="Verdana" w:hAnsi="Verdana"/>
          <w:sz w:val="20"/>
          <w:szCs w:val="20"/>
          <w:lang w:val="es-ES"/>
        </w:rPr>
        <w:tab/>
        <w:t>Estaciones en plataformas a gran altitud como estaciones base de las IMT (HIBS) en bandas de frecuencias por debajo de 2,7 GHz</w:t>
      </w:r>
    </w:p>
    <w:p w14:paraId="114B238E" w14:textId="77777777" w:rsidR="008907B5" w:rsidRPr="006B66E8" w:rsidRDefault="008907B5" w:rsidP="00081B6C">
      <w:pPr>
        <w:pStyle w:val="Texte"/>
        <w:widowControl w:val="0"/>
        <w:spacing w:before="240" w:after="240"/>
        <w:ind w:left="3402" w:hanging="3402"/>
        <w:jc w:val="left"/>
        <w:rPr>
          <w:rFonts w:ascii="Verdana" w:hAnsi="Verdana" w:cs="Times New Roman"/>
          <w:sz w:val="20"/>
          <w:szCs w:val="20"/>
          <w:lang w:val="es-ES"/>
        </w:rPr>
      </w:pPr>
      <w:r w:rsidRPr="006B66E8">
        <w:rPr>
          <w:rFonts w:ascii="Verdana" w:hAnsi="Verdana"/>
          <w:sz w:val="20"/>
          <w:szCs w:val="20"/>
          <w:lang w:val="es-ES"/>
        </w:rPr>
        <w:t>Punto 1.5 del orden del día:</w:t>
      </w:r>
      <w:r w:rsidRPr="006B66E8">
        <w:rPr>
          <w:rFonts w:ascii="Verdana" w:hAnsi="Verdana"/>
          <w:sz w:val="20"/>
          <w:szCs w:val="20"/>
          <w:lang w:val="es-ES"/>
        </w:rPr>
        <w:tab/>
        <w:t>Posibles medidas reglamentarias para la banda de frecuencias 470-694 MHz en la Región 1</w:t>
      </w:r>
    </w:p>
    <w:p w14:paraId="114B238F"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Punto 1.6 del orden del día:</w:t>
      </w:r>
      <w:r w:rsidRPr="006B66E8">
        <w:rPr>
          <w:rFonts w:ascii="Verdana" w:hAnsi="Verdana"/>
          <w:sz w:val="20"/>
          <w:szCs w:val="20"/>
          <w:lang w:val="es-ES"/>
        </w:rPr>
        <w:tab/>
        <w:t>Disposiciones reglamentarias para facilitar las radiocomunicaciones para vehículos suborbitales</w:t>
      </w:r>
    </w:p>
    <w:p w14:paraId="114B2390"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Punto 1.10 del orden del día:</w:t>
      </w:r>
      <w:r w:rsidRPr="006B66E8">
        <w:rPr>
          <w:rFonts w:ascii="Verdana" w:hAnsi="Verdana"/>
          <w:sz w:val="20"/>
          <w:szCs w:val="20"/>
          <w:lang w:val="es-ES"/>
        </w:rPr>
        <w:tab/>
        <w:t>Posibles nuevas atribuciones al servicio móvil aeronáutico para la utilización de aplicaciones móviles aeronáuticas no relacionadas con la seguridad en las bandas de frecuencias 15,4-15,7 GHz y 22-22,21 GHz</w:t>
      </w:r>
    </w:p>
    <w:p w14:paraId="114B2391"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 xml:space="preserve">Punto 1.12 del orden del día: </w:t>
      </w:r>
      <w:r w:rsidRPr="006B66E8">
        <w:rPr>
          <w:rFonts w:ascii="Verdana" w:hAnsi="Verdana"/>
          <w:sz w:val="20"/>
          <w:szCs w:val="20"/>
          <w:lang w:val="es-ES"/>
        </w:rPr>
        <w:tab/>
        <w:t>Posible nueva atribución secundaria al SETS (activo) alrededor de 45 MHz</w:t>
      </w:r>
    </w:p>
    <w:p w14:paraId="114B2392"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 xml:space="preserve">Punto 1.13 del orden del día: </w:t>
      </w:r>
      <w:r w:rsidRPr="006B66E8">
        <w:rPr>
          <w:rFonts w:ascii="Verdana" w:hAnsi="Verdana"/>
          <w:sz w:val="20"/>
          <w:szCs w:val="20"/>
          <w:lang w:val="es-ES"/>
        </w:rPr>
        <w:tab/>
        <w:t>Elevación de la categoría de la atribución al servicio de investigación espacial en la banda de frecuencias 14,8</w:t>
      </w:r>
      <w:r w:rsidR="00081B6C" w:rsidRPr="006B66E8">
        <w:rPr>
          <w:rFonts w:ascii="Verdana" w:hAnsi="Verdana"/>
          <w:sz w:val="20"/>
          <w:szCs w:val="20"/>
          <w:lang w:val="es-ES"/>
        </w:rPr>
        <w:noBreakHyphen/>
      </w:r>
      <w:r w:rsidRPr="006B66E8">
        <w:rPr>
          <w:rFonts w:ascii="Verdana" w:hAnsi="Verdana"/>
          <w:sz w:val="20"/>
          <w:szCs w:val="20"/>
          <w:lang w:val="es-ES"/>
        </w:rPr>
        <w:t>15,35</w:t>
      </w:r>
      <w:r w:rsidR="00081B6C" w:rsidRPr="006B66E8">
        <w:rPr>
          <w:rFonts w:ascii="Verdana" w:hAnsi="Verdana"/>
          <w:sz w:val="20"/>
          <w:szCs w:val="20"/>
          <w:lang w:val="es-ES"/>
        </w:rPr>
        <w:t> </w:t>
      </w:r>
      <w:r w:rsidRPr="006B66E8">
        <w:rPr>
          <w:rFonts w:ascii="Verdana" w:hAnsi="Verdana"/>
          <w:sz w:val="20"/>
          <w:szCs w:val="20"/>
          <w:lang w:val="es-ES"/>
        </w:rPr>
        <w:t>GHz a título primario</w:t>
      </w:r>
    </w:p>
    <w:p w14:paraId="114B2393"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 xml:space="preserve">Punto 1.14 del orden del día: </w:t>
      </w:r>
      <w:r w:rsidRPr="006B66E8">
        <w:rPr>
          <w:rFonts w:ascii="Verdana" w:hAnsi="Verdana"/>
          <w:sz w:val="20"/>
          <w:szCs w:val="20"/>
          <w:lang w:val="es-ES"/>
        </w:rPr>
        <w:tab/>
        <w:t>Posibles ajustes de las atribuciones existentes o posibles al SETS (pasivo) en la gama de frecuencias 231,5-252 GHz</w:t>
      </w:r>
    </w:p>
    <w:p w14:paraId="114B2394" w14:textId="77777777" w:rsidR="008907B5" w:rsidRPr="006B66E8" w:rsidRDefault="008907B5" w:rsidP="00081B6C">
      <w:pPr>
        <w:pStyle w:val="Texte"/>
        <w:widowControl w:val="0"/>
        <w:spacing w:before="240" w:after="240"/>
        <w:ind w:left="3402" w:hanging="3402"/>
        <w:jc w:val="left"/>
        <w:rPr>
          <w:rFonts w:ascii="Verdana" w:hAnsi="Verdana" w:cs="Times New Roman"/>
          <w:sz w:val="20"/>
          <w:szCs w:val="20"/>
          <w:lang w:val="es-ES"/>
        </w:rPr>
      </w:pPr>
      <w:r w:rsidRPr="006B66E8">
        <w:rPr>
          <w:rFonts w:ascii="Verdana" w:hAnsi="Verdana"/>
          <w:sz w:val="20"/>
          <w:szCs w:val="20"/>
          <w:lang w:val="es-ES"/>
        </w:rPr>
        <w:t xml:space="preserve">Punto 1.15 del orden del día: </w:t>
      </w:r>
      <w:r w:rsidRPr="006B66E8">
        <w:rPr>
          <w:rFonts w:ascii="Verdana" w:hAnsi="Verdana"/>
          <w:sz w:val="20"/>
          <w:szCs w:val="20"/>
          <w:lang w:val="es-ES"/>
        </w:rPr>
        <w:tab/>
        <w:t>Armonización a escala mundial de la utilización de la banda de frecuencias 12,75-13,25 GHz (Tierra-espacio) por las estaciones terrenas a bordo de aeronaves y barcos que se comunican con estaciones espaciales geoestacionarias del servicio fijo por satélite (SFS)</w:t>
      </w:r>
    </w:p>
    <w:p w14:paraId="114B2395"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 xml:space="preserve">Punto 1.16 del orden del día: </w:t>
      </w:r>
      <w:r w:rsidRPr="006B66E8">
        <w:rPr>
          <w:rFonts w:ascii="Verdana" w:hAnsi="Verdana"/>
          <w:sz w:val="20"/>
          <w:szCs w:val="20"/>
          <w:lang w:val="es-ES"/>
        </w:rPr>
        <w:tab/>
        <w:t>Utilización de las bandas de frecuencias 17,7-18,6</w:t>
      </w:r>
      <w:r w:rsidR="00081B6C" w:rsidRPr="006B66E8">
        <w:rPr>
          <w:rFonts w:ascii="Verdana" w:hAnsi="Verdana"/>
          <w:sz w:val="20"/>
          <w:szCs w:val="20"/>
          <w:lang w:val="es-ES"/>
        </w:rPr>
        <w:t> </w:t>
      </w:r>
      <w:r w:rsidRPr="006B66E8">
        <w:rPr>
          <w:rFonts w:ascii="Verdana" w:hAnsi="Verdana"/>
          <w:sz w:val="20"/>
          <w:szCs w:val="20"/>
          <w:lang w:val="es-ES"/>
        </w:rPr>
        <w:t>GHz (espacio-Tierra), 18,8-19,3 GHz (espacio-Tierra)</w:t>
      </w:r>
      <w:r w:rsidR="008779F6" w:rsidRPr="006B66E8">
        <w:rPr>
          <w:rFonts w:ascii="Verdana" w:hAnsi="Verdana"/>
          <w:sz w:val="20"/>
          <w:szCs w:val="20"/>
          <w:lang w:val="es-ES"/>
        </w:rPr>
        <w:t>,</w:t>
      </w:r>
      <w:r w:rsidRPr="006B66E8">
        <w:rPr>
          <w:rFonts w:ascii="Verdana" w:hAnsi="Verdana"/>
          <w:sz w:val="20"/>
          <w:szCs w:val="20"/>
          <w:lang w:val="es-ES"/>
        </w:rPr>
        <w:t xml:space="preserve"> 19,7</w:t>
      </w:r>
      <w:r w:rsidR="00081B6C" w:rsidRPr="006B66E8">
        <w:rPr>
          <w:rFonts w:ascii="Verdana" w:hAnsi="Verdana"/>
          <w:sz w:val="20"/>
          <w:szCs w:val="20"/>
          <w:lang w:val="es-ES"/>
        </w:rPr>
        <w:noBreakHyphen/>
      </w:r>
      <w:r w:rsidRPr="006B66E8">
        <w:rPr>
          <w:rFonts w:ascii="Verdana" w:hAnsi="Verdana"/>
          <w:sz w:val="20"/>
          <w:szCs w:val="20"/>
          <w:lang w:val="es-ES"/>
        </w:rPr>
        <w:t>20,2</w:t>
      </w:r>
      <w:r w:rsidR="00081B6C" w:rsidRPr="006B66E8">
        <w:rPr>
          <w:rFonts w:ascii="Verdana" w:hAnsi="Verdana"/>
          <w:sz w:val="20"/>
          <w:szCs w:val="20"/>
          <w:lang w:val="es-ES"/>
        </w:rPr>
        <w:t> </w:t>
      </w:r>
      <w:r w:rsidRPr="006B66E8">
        <w:rPr>
          <w:rFonts w:ascii="Verdana" w:hAnsi="Verdana"/>
          <w:sz w:val="20"/>
          <w:szCs w:val="20"/>
          <w:lang w:val="es-ES"/>
        </w:rPr>
        <w:t>GHz (espacio-Tierra), 27,5-29,1 GHz (Tierra</w:t>
      </w:r>
      <w:r w:rsidR="00081B6C" w:rsidRPr="006B66E8">
        <w:rPr>
          <w:rFonts w:ascii="Verdana" w:hAnsi="Verdana"/>
          <w:sz w:val="20"/>
          <w:szCs w:val="20"/>
          <w:lang w:val="es-ES"/>
        </w:rPr>
        <w:noBreakHyphen/>
      </w:r>
      <w:r w:rsidRPr="006B66E8">
        <w:rPr>
          <w:rFonts w:ascii="Verdana" w:hAnsi="Verdana"/>
          <w:sz w:val="20"/>
          <w:szCs w:val="20"/>
          <w:lang w:val="es-ES"/>
        </w:rPr>
        <w:t>espacio) y 29,5-30 GHz (Tierra-espacio) por las estaciones terrenas en movimiento</w:t>
      </w:r>
    </w:p>
    <w:p w14:paraId="114B2396"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 xml:space="preserve">Punto 1.17 del orden del día: </w:t>
      </w:r>
      <w:r w:rsidRPr="006B66E8">
        <w:rPr>
          <w:rFonts w:ascii="Verdana" w:hAnsi="Verdana"/>
          <w:sz w:val="20"/>
          <w:szCs w:val="20"/>
          <w:lang w:val="es-ES"/>
        </w:rPr>
        <w:tab/>
        <w:t>Medidas reglamentarias para el establecimiento de enlaces entre satélites en bandas de frecuencias específicas</w:t>
      </w:r>
    </w:p>
    <w:p w14:paraId="114B2397" w14:textId="77777777" w:rsidR="00040E30" w:rsidRPr="006B66E8" w:rsidRDefault="00040E30"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br w:type="page"/>
      </w:r>
    </w:p>
    <w:p w14:paraId="114B2398"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lastRenderedPageBreak/>
        <w:t xml:space="preserve">Punto 1.18 del orden del día: </w:t>
      </w:r>
      <w:r w:rsidRPr="006B66E8">
        <w:rPr>
          <w:rFonts w:ascii="Verdana" w:hAnsi="Verdana"/>
          <w:sz w:val="20"/>
          <w:szCs w:val="20"/>
          <w:lang w:val="es-ES"/>
        </w:rPr>
        <w:tab/>
        <w:t>Posibles nuevas atribuciones al espectro del servicio móvil por satélite (SMS) en las bandas de frecuencias 1</w:t>
      </w:r>
      <w:r w:rsidR="00081B6C" w:rsidRPr="006B66E8">
        <w:rPr>
          <w:rFonts w:ascii="Verdana" w:hAnsi="Verdana"/>
          <w:sz w:val="20"/>
          <w:szCs w:val="20"/>
          <w:lang w:val="es-ES"/>
        </w:rPr>
        <w:t> </w:t>
      </w:r>
      <w:r w:rsidRPr="006B66E8">
        <w:rPr>
          <w:rFonts w:ascii="Verdana" w:hAnsi="Verdana"/>
          <w:sz w:val="20"/>
          <w:szCs w:val="20"/>
          <w:lang w:val="es-ES"/>
        </w:rPr>
        <w:t>695</w:t>
      </w:r>
      <w:r w:rsidR="00081B6C" w:rsidRPr="006B66E8">
        <w:rPr>
          <w:rFonts w:ascii="Verdana" w:hAnsi="Verdana"/>
          <w:sz w:val="20"/>
          <w:szCs w:val="20"/>
          <w:lang w:val="es-ES"/>
        </w:rPr>
        <w:noBreakHyphen/>
      </w:r>
      <w:r w:rsidRPr="006B66E8">
        <w:rPr>
          <w:rFonts w:ascii="Verdana" w:hAnsi="Verdana"/>
          <w:sz w:val="20"/>
          <w:szCs w:val="20"/>
          <w:lang w:val="es-ES"/>
        </w:rPr>
        <w:t>1</w:t>
      </w:r>
      <w:r w:rsidR="00081B6C" w:rsidRPr="006B66E8">
        <w:rPr>
          <w:rFonts w:ascii="Verdana" w:hAnsi="Verdana"/>
          <w:sz w:val="20"/>
          <w:szCs w:val="20"/>
          <w:lang w:val="es-ES"/>
        </w:rPr>
        <w:t> </w:t>
      </w:r>
      <w:r w:rsidRPr="006B66E8">
        <w:rPr>
          <w:rFonts w:ascii="Verdana" w:hAnsi="Verdana"/>
          <w:sz w:val="20"/>
          <w:szCs w:val="20"/>
          <w:lang w:val="es-ES"/>
        </w:rPr>
        <w:t>710</w:t>
      </w:r>
      <w:r w:rsidR="00081B6C" w:rsidRPr="006B66E8">
        <w:rPr>
          <w:rFonts w:ascii="Verdana" w:hAnsi="Verdana"/>
          <w:sz w:val="20"/>
          <w:szCs w:val="20"/>
          <w:lang w:val="es-ES"/>
        </w:rPr>
        <w:t> </w:t>
      </w:r>
      <w:r w:rsidRPr="006B66E8">
        <w:rPr>
          <w:rFonts w:ascii="Verdana" w:hAnsi="Verdana"/>
          <w:sz w:val="20"/>
          <w:szCs w:val="20"/>
          <w:lang w:val="es-ES"/>
        </w:rPr>
        <w:t>MHz, 2 010-2 025 MHz, 3 300-3 315 MHz y 3</w:t>
      </w:r>
      <w:r w:rsidR="00081B6C" w:rsidRPr="006B66E8">
        <w:rPr>
          <w:rFonts w:ascii="Verdana" w:hAnsi="Verdana"/>
          <w:sz w:val="20"/>
          <w:szCs w:val="20"/>
          <w:lang w:val="es-ES"/>
        </w:rPr>
        <w:t> </w:t>
      </w:r>
      <w:r w:rsidRPr="006B66E8">
        <w:rPr>
          <w:rFonts w:ascii="Verdana" w:hAnsi="Verdana"/>
          <w:sz w:val="20"/>
          <w:szCs w:val="20"/>
          <w:lang w:val="es-ES"/>
        </w:rPr>
        <w:t>385-3</w:t>
      </w:r>
      <w:r w:rsidR="00081B6C" w:rsidRPr="006B66E8">
        <w:rPr>
          <w:rFonts w:ascii="Verdana" w:hAnsi="Verdana"/>
          <w:sz w:val="20"/>
          <w:szCs w:val="20"/>
          <w:lang w:val="es-ES"/>
        </w:rPr>
        <w:t> </w:t>
      </w:r>
      <w:r w:rsidRPr="006B66E8">
        <w:rPr>
          <w:rFonts w:ascii="Verdana" w:hAnsi="Verdana"/>
          <w:sz w:val="20"/>
          <w:szCs w:val="20"/>
          <w:lang w:val="es-ES"/>
        </w:rPr>
        <w:t>400 MHz para futuros sistemas del SMS de banda estrecha</w:t>
      </w:r>
    </w:p>
    <w:p w14:paraId="114B2399"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 xml:space="preserve">Punto 4 del orden del día: </w:t>
      </w:r>
      <w:r w:rsidRPr="006B66E8">
        <w:rPr>
          <w:rFonts w:ascii="Verdana" w:hAnsi="Verdana"/>
          <w:sz w:val="20"/>
          <w:szCs w:val="20"/>
          <w:lang w:val="es-ES"/>
        </w:rPr>
        <w:tab/>
        <w:t>Resolución 731 del UIT-R</w:t>
      </w:r>
    </w:p>
    <w:p w14:paraId="114B239A" w14:textId="77777777"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Punto 7 del orden del día:</w:t>
      </w:r>
      <w:r w:rsidRPr="006B66E8">
        <w:rPr>
          <w:rFonts w:ascii="Verdana" w:hAnsi="Verdana"/>
          <w:sz w:val="20"/>
          <w:szCs w:val="20"/>
          <w:lang w:val="es-ES"/>
        </w:rPr>
        <w:tab/>
        <w:t>Procedimientos de regulación de los satélites</w:t>
      </w:r>
    </w:p>
    <w:p w14:paraId="114B239B" w14:textId="16037FEF" w:rsidR="008907B5" w:rsidRPr="006B66E8" w:rsidRDefault="008907B5" w:rsidP="00081B6C">
      <w:pPr>
        <w:pStyle w:val="Texte"/>
        <w:widowControl w:val="0"/>
        <w:spacing w:before="240" w:after="240"/>
        <w:ind w:left="3402" w:hanging="3402"/>
        <w:jc w:val="left"/>
        <w:rPr>
          <w:rFonts w:ascii="Verdana" w:hAnsi="Verdana"/>
          <w:sz w:val="20"/>
          <w:szCs w:val="20"/>
          <w:lang w:val="es-ES"/>
        </w:rPr>
      </w:pPr>
      <w:r w:rsidRPr="006B66E8">
        <w:rPr>
          <w:rFonts w:ascii="Verdana" w:hAnsi="Verdana"/>
          <w:sz w:val="20"/>
          <w:szCs w:val="20"/>
          <w:lang w:val="es-ES"/>
        </w:rPr>
        <w:t>Punto 9.1 a) del orden del día:</w:t>
      </w:r>
      <w:r w:rsidRPr="006B66E8">
        <w:rPr>
          <w:rFonts w:ascii="Verdana" w:hAnsi="Verdana"/>
          <w:sz w:val="20"/>
          <w:szCs w:val="20"/>
          <w:lang w:val="es-ES"/>
        </w:rPr>
        <w:tab/>
        <w:t xml:space="preserve">Reconocimiento y protección adecuados de los sensores meteorológicos espaciales en el Reglamento de Radiocomunicaciones, sin imponer restricciones adicionales </w:t>
      </w:r>
      <w:r w:rsidR="00A84B3C" w:rsidRPr="006B66E8">
        <w:rPr>
          <w:rFonts w:ascii="Verdana" w:hAnsi="Verdana"/>
          <w:sz w:val="20"/>
          <w:szCs w:val="20"/>
          <w:lang w:val="es-ES"/>
        </w:rPr>
        <w:br/>
      </w:r>
      <w:r w:rsidRPr="006B66E8">
        <w:rPr>
          <w:rFonts w:ascii="Verdana" w:hAnsi="Verdana"/>
          <w:sz w:val="20"/>
          <w:szCs w:val="20"/>
          <w:lang w:val="es-ES"/>
        </w:rPr>
        <w:t>a los servicios existentes</w:t>
      </w:r>
    </w:p>
    <w:p w14:paraId="114B239C" w14:textId="77777777" w:rsidR="008907B5" w:rsidRPr="006B66E8" w:rsidRDefault="008907B5" w:rsidP="00081B6C">
      <w:pPr>
        <w:tabs>
          <w:tab w:val="left" w:pos="720"/>
        </w:tabs>
        <w:spacing w:before="240" w:after="240"/>
        <w:ind w:left="3402" w:hanging="3402"/>
        <w:jc w:val="left"/>
        <w:rPr>
          <w:lang w:val="es-ES"/>
        </w:rPr>
      </w:pPr>
      <w:r w:rsidRPr="006B66E8">
        <w:rPr>
          <w:lang w:val="es-ES"/>
        </w:rPr>
        <w:t>Punto 9.1 c) del orden del día:</w:t>
      </w:r>
      <w:r w:rsidRPr="006B66E8">
        <w:rPr>
          <w:lang w:val="es-ES"/>
        </w:rPr>
        <w:tab/>
        <w:t>Estudio sobre la utilización de los sistemas de IMT para el acceso a la banda ancha inalámbrica fija en las bandas de frecuencias atribuidas al servicio fijo</w:t>
      </w:r>
    </w:p>
    <w:p w14:paraId="114B239D" w14:textId="77777777" w:rsidR="008907B5" w:rsidRPr="006B66E8" w:rsidRDefault="008907B5" w:rsidP="00081B6C">
      <w:pPr>
        <w:tabs>
          <w:tab w:val="left" w:pos="720"/>
        </w:tabs>
        <w:spacing w:before="240" w:after="120"/>
        <w:ind w:left="3402" w:hanging="3402"/>
        <w:jc w:val="left"/>
        <w:rPr>
          <w:lang w:val="es-ES"/>
        </w:rPr>
      </w:pPr>
      <w:r w:rsidRPr="006B66E8">
        <w:rPr>
          <w:lang w:val="es-ES"/>
        </w:rPr>
        <w:t>Punto 9.1 d) del orden del día:</w:t>
      </w:r>
      <w:r w:rsidRPr="006B66E8">
        <w:rPr>
          <w:lang w:val="es-ES"/>
        </w:rPr>
        <w:tab/>
        <w:t>Protección del SETS (pasivo) en la banda de frecuencias 36</w:t>
      </w:r>
      <w:r w:rsidR="00582FCD" w:rsidRPr="006B66E8">
        <w:rPr>
          <w:lang w:val="es-ES"/>
        </w:rPr>
        <w:noBreakHyphen/>
      </w:r>
      <w:r w:rsidRPr="006B66E8">
        <w:rPr>
          <w:lang w:val="es-ES"/>
        </w:rPr>
        <w:t xml:space="preserve">37 GHz frente a </w:t>
      </w:r>
      <w:r w:rsidR="00B138EA" w:rsidRPr="006B66E8">
        <w:rPr>
          <w:lang w:val="es-ES"/>
        </w:rPr>
        <w:t xml:space="preserve">las </w:t>
      </w:r>
      <w:r w:rsidRPr="006B66E8">
        <w:rPr>
          <w:lang w:val="es-ES"/>
        </w:rPr>
        <w:t>estaciones espaciales del SFS en órbita no geoestacionari</w:t>
      </w:r>
      <w:r w:rsidR="005C5232" w:rsidRPr="006B66E8">
        <w:rPr>
          <w:lang w:val="es-ES"/>
        </w:rPr>
        <w:t>a</w:t>
      </w:r>
    </w:p>
    <w:p w14:paraId="114B239E" w14:textId="77777777" w:rsidR="00081B6C" w:rsidRPr="006B66E8" w:rsidRDefault="00081B6C" w:rsidP="00081B6C">
      <w:pPr>
        <w:tabs>
          <w:tab w:val="clear" w:pos="1134"/>
          <w:tab w:val="left" w:pos="3402"/>
        </w:tabs>
        <w:spacing w:before="240" w:after="120"/>
        <w:jc w:val="left"/>
        <w:rPr>
          <w:rStyle w:val="WMOAgendaItem"/>
          <w:rFonts w:ascii="Verdana" w:hAnsi="Verdana"/>
          <w:sz w:val="20"/>
          <w:szCs w:val="20"/>
          <w:lang w:val="es-ES"/>
        </w:rPr>
      </w:pPr>
      <w:r w:rsidRPr="006B66E8">
        <w:rPr>
          <w:lang w:val="es-ES"/>
        </w:rPr>
        <w:t xml:space="preserve">Punto 9 del orden del día, </w:t>
      </w:r>
      <w:r w:rsidRPr="006B66E8">
        <w:rPr>
          <w:lang w:val="es-ES"/>
        </w:rPr>
        <w:tab/>
        <w:t xml:space="preserve">Aplicabilidad del artículo 21.5 a las estaciones base de las </w:t>
      </w:r>
      <w:r w:rsidRPr="006B66E8">
        <w:rPr>
          <w:lang w:val="es-ES"/>
        </w:rPr>
        <w:br/>
        <w:t>centrado en el artículo 21</w:t>
      </w:r>
      <w:r w:rsidRPr="006B66E8">
        <w:rPr>
          <w:lang w:val="es-ES"/>
        </w:rPr>
        <w:tab/>
        <w:t xml:space="preserve">IMT que utilizan una antena formada por un conjunto de </w:t>
      </w:r>
      <w:r w:rsidRPr="006B66E8">
        <w:rPr>
          <w:lang w:val="es-ES"/>
        </w:rPr>
        <w:tab/>
        <w:t>elementos activos y notificación de dichos sistemas</w:t>
      </w:r>
    </w:p>
    <w:p w14:paraId="114B239F" w14:textId="77777777" w:rsidR="008907B5" w:rsidRPr="006B66E8" w:rsidRDefault="008907B5" w:rsidP="00081B6C">
      <w:pPr>
        <w:tabs>
          <w:tab w:val="left" w:pos="720"/>
        </w:tabs>
        <w:spacing w:after="240"/>
        <w:ind w:left="3402" w:hanging="3402"/>
        <w:jc w:val="left"/>
        <w:rPr>
          <w:lang w:val="es-ES"/>
        </w:rPr>
      </w:pPr>
      <w:r w:rsidRPr="006B66E8">
        <w:rPr>
          <w:lang w:val="es-ES"/>
        </w:rPr>
        <w:t>Punto 10 del orden del día:</w:t>
      </w:r>
      <w:r w:rsidRPr="006B66E8">
        <w:rPr>
          <w:lang w:val="es-ES"/>
        </w:rPr>
        <w:tab/>
        <w:t>Orden del día preliminar de la Conferencia Mundial de Radiocomunicaciones de 2027</w:t>
      </w:r>
    </w:p>
    <w:p w14:paraId="114B23A0" w14:textId="77777777" w:rsidR="008907B5" w:rsidRPr="006B66E8" w:rsidRDefault="008907B5" w:rsidP="002D3080">
      <w:pPr>
        <w:pStyle w:val="Heading3"/>
        <w:spacing w:before="240" w:after="240"/>
        <w:rPr>
          <w:lang w:val="es-ES"/>
        </w:rPr>
      </w:pPr>
      <w:r w:rsidRPr="006B66E8">
        <w:rPr>
          <w:lang w:val="es-ES"/>
        </w:rPr>
        <w:t>3.1</w:t>
      </w:r>
      <w:r w:rsidRPr="006B66E8">
        <w:rPr>
          <w:lang w:val="es-ES"/>
        </w:rPr>
        <w:tab/>
        <w:t>Punto 1.2 del orden del día</w:t>
      </w:r>
    </w:p>
    <w:p w14:paraId="114B23A1" w14:textId="77777777" w:rsidR="008907B5" w:rsidRPr="006B66E8" w:rsidRDefault="008907B5" w:rsidP="008907B5">
      <w:pPr>
        <w:spacing w:before="240" w:after="240"/>
        <w:jc w:val="left"/>
        <w:rPr>
          <w:lang w:val="es-ES"/>
        </w:rPr>
      </w:pPr>
      <w:r w:rsidRPr="006B66E8">
        <w:rPr>
          <w:i/>
          <w:iCs/>
          <w:lang w:val="es-ES"/>
        </w:rPr>
        <w:t>“considerar la identificación de las bandas de frecuencias 3</w:t>
      </w:r>
      <w:r w:rsidR="000C2110" w:rsidRPr="006B66E8">
        <w:rPr>
          <w:i/>
          <w:iCs/>
          <w:lang w:val="es-ES"/>
        </w:rPr>
        <w:t> </w:t>
      </w:r>
      <w:r w:rsidRPr="006B66E8">
        <w:rPr>
          <w:i/>
          <w:iCs/>
          <w:lang w:val="es-ES"/>
        </w:rPr>
        <w:t>300-3</w:t>
      </w:r>
      <w:r w:rsidR="000C2110" w:rsidRPr="006B66E8">
        <w:rPr>
          <w:i/>
          <w:iCs/>
          <w:lang w:val="es-ES"/>
        </w:rPr>
        <w:t> </w:t>
      </w:r>
      <w:r w:rsidRPr="006B66E8">
        <w:rPr>
          <w:i/>
          <w:iCs/>
          <w:lang w:val="es-ES"/>
        </w:rPr>
        <w:t>400 MHz, 3</w:t>
      </w:r>
      <w:r w:rsidR="000C2110" w:rsidRPr="006B66E8">
        <w:rPr>
          <w:i/>
          <w:iCs/>
          <w:lang w:val="es-ES"/>
        </w:rPr>
        <w:t> </w:t>
      </w:r>
      <w:r w:rsidRPr="006B66E8">
        <w:rPr>
          <w:i/>
          <w:iCs/>
          <w:lang w:val="es-ES"/>
        </w:rPr>
        <w:t>600-3</w:t>
      </w:r>
      <w:r w:rsidR="000C2110" w:rsidRPr="006B66E8">
        <w:rPr>
          <w:i/>
          <w:iCs/>
          <w:lang w:val="es-ES"/>
        </w:rPr>
        <w:t> </w:t>
      </w:r>
      <w:r w:rsidRPr="006B66E8">
        <w:rPr>
          <w:i/>
          <w:iCs/>
          <w:lang w:val="es-ES"/>
        </w:rPr>
        <w:t>800</w:t>
      </w:r>
      <w:r w:rsidR="000C2110" w:rsidRPr="006B66E8">
        <w:rPr>
          <w:i/>
          <w:iCs/>
          <w:lang w:val="es-ES"/>
        </w:rPr>
        <w:t> </w:t>
      </w:r>
      <w:r w:rsidRPr="006B66E8">
        <w:rPr>
          <w:i/>
          <w:iCs/>
          <w:lang w:val="es-ES"/>
        </w:rPr>
        <w:t>MHz, 6</w:t>
      </w:r>
      <w:r w:rsidR="000C2110" w:rsidRPr="006B66E8">
        <w:rPr>
          <w:i/>
          <w:iCs/>
          <w:lang w:val="es-ES"/>
        </w:rPr>
        <w:t> </w:t>
      </w:r>
      <w:r w:rsidRPr="006B66E8">
        <w:rPr>
          <w:i/>
          <w:iCs/>
          <w:lang w:val="es-ES"/>
        </w:rPr>
        <w:t xml:space="preserve">425-7 025 MHz, 7 025-7 125 MHz y 10,0-10,5 GHz para las Telecomunicaciones Móviles Internacionales (IMT), incluidas posibles atribuciones adicionales al servicio móvil a título primario, de conformidad con la Resolución </w:t>
      </w:r>
      <w:r w:rsidRPr="006B66E8">
        <w:rPr>
          <w:b/>
          <w:bCs/>
          <w:i/>
          <w:iCs/>
          <w:lang w:val="es-ES"/>
        </w:rPr>
        <w:t>245 (CMR-19)</w:t>
      </w:r>
      <w:r w:rsidRPr="006B66E8">
        <w:rPr>
          <w:i/>
          <w:iCs/>
          <w:lang w:val="es-ES"/>
        </w:rPr>
        <w:t>”.</w:t>
      </w:r>
    </w:p>
    <w:p w14:paraId="114B23A2"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En la </w:t>
      </w:r>
      <w:r w:rsidRPr="006B66E8">
        <w:rPr>
          <w:rFonts w:ascii="Verdana" w:hAnsi="Verdana"/>
          <w:b/>
          <w:bCs/>
          <w:sz w:val="20"/>
          <w:szCs w:val="20"/>
          <w:lang w:val="es-ES"/>
        </w:rPr>
        <w:t>nota 5.458</w:t>
      </w:r>
      <w:r w:rsidRPr="006B66E8">
        <w:rPr>
          <w:rFonts w:ascii="Verdana" w:hAnsi="Verdana"/>
          <w:sz w:val="20"/>
          <w:szCs w:val="20"/>
          <w:lang w:val="es-ES"/>
        </w:rPr>
        <w:t xml:space="preserve"> del Reglamento de Radiocomunicaciones se indica que las administraciones deberían tener en cuenta las necesidades del SETS (pasivo) y del servicio de investigación espacial (SIE) (pasivo) en la planificación de la utilización futura de las bandas de frecuencias </w:t>
      </w:r>
      <w:r w:rsidR="00A017CD" w:rsidRPr="006B66E8">
        <w:rPr>
          <w:rFonts w:ascii="Verdana" w:hAnsi="Verdana"/>
          <w:sz w:val="20"/>
          <w:szCs w:val="20"/>
          <w:lang w:val="es-ES"/>
        </w:rPr>
        <w:t xml:space="preserve">de </w:t>
      </w:r>
      <w:r w:rsidRPr="006B66E8">
        <w:rPr>
          <w:rFonts w:ascii="Verdana" w:hAnsi="Verdana"/>
          <w:sz w:val="20"/>
          <w:szCs w:val="20"/>
          <w:lang w:val="es-ES"/>
        </w:rPr>
        <w:t>6 425-7 075 MHz y 7 075-7 250 MHz, dado que los sensores pasivos de microondas realizan las mediciones en esas bandas de frecuencias. Las mediciones del SETS (pasivo) en o alrededor de 6 425-7 250 MHz corresponden a la sensibilidad máxima a la temperatura de la superficie del mar. Por tanto, la utilización de cualquier parte de la banda de 6</w:t>
      </w:r>
      <w:r w:rsidR="00081B6C" w:rsidRPr="006B66E8">
        <w:rPr>
          <w:rFonts w:ascii="Verdana" w:hAnsi="Verdana"/>
          <w:sz w:val="20"/>
          <w:szCs w:val="20"/>
          <w:lang w:val="es-ES"/>
        </w:rPr>
        <w:t> </w:t>
      </w:r>
      <w:r w:rsidRPr="006B66E8">
        <w:rPr>
          <w:rFonts w:ascii="Verdana" w:hAnsi="Verdana"/>
          <w:sz w:val="20"/>
          <w:szCs w:val="20"/>
          <w:lang w:val="es-ES"/>
        </w:rPr>
        <w:t>425-7</w:t>
      </w:r>
      <w:r w:rsidR="00081B6C" w:rsidRPr="006B66E8">
        <w:rPr>
          <w:rFonts w:ascii="Verdana" w:hAnsi="Verdana"/>
          <w:sz w:val="20"/>
          <w:szCs w:val="20"/>
          <w:lang w:val="es-ES"/>
        </w:rPr>
        <w:t> </w:t>
      </w:r>
      <w:r w:rsidRPr="006B66E8">
        <w:rPr>
          <w:rFonts w:ascii="Verdana" w:hAnsi="Verdana"/>
          <w:sz w:val="20"/>
          <w:szCs w:val="20"/>
          <w:lang w:val="es-ES"/>
        </w:rPr>
        <w:t>125</w:t>
      </w:r>
      <w:r w:rsidR="00081B6C" w:rsidRPr="006B66E8">
        <w:rPr>
          <w:rFonts w:ascii="Verdana" w:hAnsi="Verdana"/>
          <w:sz w:val="20"/>
          <w:szCs w:val="20"/>
          <w:lang w:val="es-ES"/>
        </w:rPr>
        <w:t> </w:t>
      </w:r>
      <w:r w:rsidRPr="006B66E8">
        <w:rPr>
          <w:rFonts w:ascii="Verdana" w:hAnsi="Verdana"/>
          <w:sz w:val="20"/>
          <w:szCs w:val="20"/>
          <w:lang w:val="es-ES"/>
        </w:rPr>
        <w:t>MHz por parte de las IMT podría repercutir en las mediciones actuales y previstas de la temperatura de la superficie del mar, especialmente en las zonas costeras. En la base de datos de la Herramienta de Análisis y Examen de la Capacidad de los Sistemas de Observación desde el Espacio (OSCAR/Espacio) de la OMM</w:t>
      </w:r>
      <w:r w:rsidRPr="006B66E8">
        <w:rPr>
          <w:rStyle w:val="FootnoteReference"/>
          <w:rFonts w:ascii="Verdana" w:hAnsi="Verdana"/>
          <w:sz w:val="20"/>
          <w:szCs w:val="20"/>
          <w:lang w:val="es-ES"/>
        </w:rPr>
        <w:footnoteReference w:id="7"/>
      </w:r>
      <w:r w:rsidRPr="006B66E8">
        <w:rPr>
          <w:rFonts w:ascii="Verdana" w:hAnsi="Verdana"/>
          <w:sz w:val="20"/>
          <w:szCs w:val="20"/>
          <w:lang w:val="es-ES"/>
        </w:rPr>
        <w:t xml:space="preserve"> se enumeran algunas misiones satelitales actuales y planificadas que incluyen el uso de un sensor pasivo en esas bandas. El anexo 2 al presente documento se muestra la posible repercusión en las mediciones de esos sensores y el posible camino a seguir.</w:t>
      </w:r>
    </w:p>
    <w:p w14:paraId="114B23A3"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De forma análoga, en la base de datos de OSCAR/Espacio se enumeran muchas misiones satelitales actuales y previstas que incluyen el uso de sensores pasivos en la gama de frecuencias de 10,6-10,7 GHz, teniendo en cuenta que la banda de frecuencias de </w:t>
      </w:r>
      <w:r w:rsidRPr="006B66E8">
        <w:rPr>
          <w:rFonts w:ascii="Verdana" w:hAnsi="Verdana"/>
          <w:sz w:val="20"/>
          <w:szCs w:val="20"/>
          <w:lang w:val="es-ES"/>
        </w:rPr>
        <w:lastRenderedPageBreak/>
        <w:t>10,68</w:t>
      </w:r>
      <w:r w:rsidR="00081B6C" w:rsidRPr="006B66E8">
        <w:rPr>
          <w:rFonts w:ascii="Verdana" w:hAnsi="Verdana"/>
          <w:sz w:val="20"/>
          <w:szCs w:val="20"/>
          <w:lang w:val="es-ES"/>
        </w:rPr>
        <w:noBreakHyphen/>
      </w:r>
      <w:r w:rsidRPr="006B66E8">
        <w:rPr>
          <w:rFonts w:ascii="Verdana" w:hAnsi="Verdana"/>
          <w:sz w:val="20"/>
          <w:szCs w:val="20"/>
          <w:lang w:val="es-ES"/>
        </w:rPr>
        <w:t>10,7</w:t>
      </w:r>
      <w:r w:rsidR="00081B6C" w:rsidRPr="006B66E8">
        <w:rPr>
          <w:rFonts w:ascii="Verdana" w:hAnsi="Verdana"/>
          <w:sz w:val="20"/>
          <w:szCs w:val="20"/>
          <w:lang w:val="es-ES"/>
        </w:rPr>
        <w:t> </w:t>
      </w:r>
      <w:r w:rsidRPr="006B66E8">
        <w:rPr>
          <w:rFonts w:ascii="Verdana" w:hAnsi="Verdana"/>
          <w:sz w:val="20"/>
          <w:szCs w:val="20"/>
          <w:lang w:val="es-ES"/>
        </w:rPr>
        <w:t xml:space="preserve">GHz figura entre las bandas señaladas en la </w:t>
      </w:r>
      <w:r w:rsidRPr="006B66E8">
        <w:rPr>
          <w:rFonts w:ascii="Verdana" w:hAnsi="Verdana"/>
          <w:b/>
          <w:bCs/>
          <w:sz w:val="20"/>
          <w:szCs w:val="20"/>
          <w:lang w:val="es-ES"/>
        </w:rPr>
        <w:t xml:space="preserve">nota 5.340 </w:t>
      </w:r>
      <w:r w:rsidRPr="006B66E8">
        <w:rPr>
          <w:rFonts w:ascii="Verdana" w:hAnsi="Verdana"/>
          <w:sz w:val="20"/>
          <w:szCs w:val="20"/>
          <w:lang w:val="es-ES"/>
        </w:rPr>
        <w:t>del Reglamento de Radiocomunicaciones. La OMM sabe de la existencia de una banda de guarda de 100 MHz entre la banda de frecuencias del SETS (pasivo) y la banda de frecuencias de 10,0-10,5 GHz propuesta para las IMT, pero insiste en el hecho de que los estudios realizados sobre las IMT en otras bandas de frecuencias han puesto de manifiesto que las bandas de guarda por sí solas no aseguran forzosamente la protección del SETS (pasivo).</w:t>
      </w:r>
    </w:p>
    <w:p w14:paraId="114B23A4"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Además, en la Conferencia Mundial de Radiocomunicaciones de 2015 se atribuyeron 400</w:t>
      </w:r>
      <w:r w:rsidR="000C2110" w:rsidRPr="006B66E8">
        <w:rPr>
          <w:rFonts w:ascii="Verdana" w:hAnsi="Verdana"/>
          <w:sz w:val="20"/>
          <w:szCs w:val="20"/>
          <w:lang w:val="es-ES"/>
        </w:rPr>
        <w:t> </w:t>
      </w:r>
      <w:r w:rsidRPr="006B66E8">
        <w:rPr>
          <w:rFonts w:ascii="Verdana" w:hAnsi="Verdana"/>
          <w:sz w:val="20"/>
          <w:szCs w:val="20"/>
          <w:lang w:val="es-ES"/>
        </w:rPr>
        <w:t>MHz al SETS (activo) entre 10 y 10,4 GHz, lo que permitió aumentar el ancho de banda hasta 1 200</w:t>
      </w:r>
      <w:r w:rsidR="00081B6C" w:rsidRPr="006B66E8">
        <w:rPr>
          <w:rFonts w:ascii="Verdana" w:hAnsi="Verdana"/>
          <w:sz w:val="20"/>
          <w:szCs w:val="20"/>
          <w:lang w:val="es-ES"/>
        </w:rPr>
        <w:t> </w:t>
      </w:r>
      <w:r w:rsidRPr="006B66E8">
        <w:rPr>
          <w:rFonts w:ascii="Verdana" w:hAnsi="Verdana"/>
          <w:sz w:val="20"/>
          <w:szCs w:val="20"/>
          <w:lang w:val="es-ES"/>
        </w:rPr>
        <w:t>MHz (9,2-10,4 GHz) y proporcionar un</w:t>
      </w:r>
      <w:r w:rsidR="00081B6C" w:rsidRPr="006B66E8">
        <w:rPr>
          <w:rFonts w:ascii="Verdana" w:hAnsi="Verdana"/>
          <w:sz w:val="20"/>
          <w:szCs w:val="20"/>
          <w:lang w:val="es-ES"/>
        </w:rPr>
        <w:t>a</w:t>
      </w:r>
      <w:r w:rsidRPr="006B66E8">
        <w:rPr>
          <w:rFonts w:ascii="Verdana" w:hAnsi="Verdana"/>
          <w:sz w:val="20"/>
          <w:szCs w:val="20"/>
          <w:lang w:val="es-ES"/>
        </w:rPr>
        <w:t xml:space="preserve"> resolución más alta. Ello permitió incrementar la calidad de las observaciones satelitales utilizadas, en particular, para el monitoreo de las crecidas y el cambio climático. Según los estudios actuales sobre la compartición, esta no es factible sin técnicas de mitigación. La posible identificación de la banda de frecuencias de 10,0</w:t>
      </w:r>
      <w:r w:rsidR="00081B6C" w:rsidRPr="006B66E8">
        <w:rPr>
          <w:rFonts w:ascii="Verdana" w:hAnsi="Verdana"/>
          <w:sz w:val="20"/>
          <w:szCs w:val="20"/>
          <w:lang w:val="es-ES"/>
        </w:rPr>
        <w:noBreakHyphen/>
      </w:r>
      <w:r w:rsidRPr="006B66E8">
        <w:rPr>
          <w:rFonts w:ascii="Verdana" w:hAnsi="Verdana"/>
          <w:sz w:val="20"/>
          <w:szCs w:val="20"/>
          <w:lang w:val="es-ES"/>
        </w:rPr>
        <w:t>10,5 GHz para las IMT podría dar lugar a la reducción de esta capacidad de monitoreo mejorada a raíz de las interferencias con el SETS (activo) en 10-10,4 GHz.</w:t>
      </w:r>
    </w:p>
    <w:p w14:paraId="114B23A5"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En el seno del UIT-R, y en el marco de este punto del orden del día, deben estudiarse los posibles problemas de interferencias señalados con anterioridad en las bandas de frecuencias de 10,0-10,4 GHz y 10,6-10,7 GHz, incluida la definición de restricciones para proteger el funcionamiento del SETS (activo) y del SETS (pasivo). </w:t>
      </w:r>
    </w:p>
    <w:p w14:paraId="114B23A6" w14:textId="77777777" w:rsidR="008907B5" w:rsidRPr="006B66E8" w:rsidRDefault="008907B5" w:rsidP="008907B5">
      <w:pPr>
        <w:pStyle w:val="ListParagraph"/>
        <w:spacing w:before="240" w:after="240"/>
        <w:jc w:val="left"/>
        <w:rPr>
          <w:rStyle w:val="ECCParagraph"/>
          <w:rFonts w:ascii="Verdana" w:hAnsi="Verdana"/>
          <w:sz w:val="20"/>
          <w:szCs w:val="20"/>
          <w:lang w:val="es-ES"/>
        </w:rPr>
      </w:pPr>
      <w:r w:rsidRPr="006B66E8">
        <w:rPr>
          <w:rFonts w:ascii="Verdana" w:hAnsi="Verdana"/>
          <w:sz w:val="20"/>
          <w:szCs w:val="20"/>
          <w:lang w:val="es-ES"/>
        </w:rPr>
        <w:t>El Grupo de Trabajo 5D es el encargado de los estudios, mientras que el Grupo de Trabajo 7C contribuye a ellos en lo concerniente al SETS (pasivo) y al SETS (activo).</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3AC" w14:textId="77777777" w:rsidTr="008907B5">
        <w:trPr>
          <w:trHeight w:val="414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3A7"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1.2 del orden del día de la Conferencia Mundial de Radiocomunicaciones de 2023</w:t>
            </w:r>
          </w:p>
          <w:p w14:paraId="114B23A8" w14:textId="1C9DA686"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no está a favor de ninguna identificación en las bandas de frecuencias de 6</w:t>
            </w:r>
            <w:r w:rsidR="000C2110" w:rsidRPr="006B66E8">
              <w:rPr>
                <w:rFonts w:ascii="Verdana" w:hAnsi="Verdana"/>
                <w:sz w:val="20"/>
                <w:szCs w:val="20"/>
                <w:lang w:val="es-ES"/>
              </w:rPr>
              <w:t> </w:t>
            </w:r>
            <w:r w:rsidRPr="006B66E8">
              <w:rPr>
                <w:rFonts w:ascii="Verdana" w:hAnsi="Verdana"/>
                <w:sz w:val="20"/>
                <w:szCs w:val="20"/>
                <w:lang w:val="es-ES"/>
              </w:rPr>
              <w:t>425</w:t>
            </w:r>
            <w:r w:rsidR="000C2110" w:rsidRPr="006B66E8">
              <w:rPr>
                <w:rFonts w:ascii="Verdana" w:hAnsi="Verdana"/>
                <w:sz w:val="20"/>
                <w:szCs w:val="20"/>
                <w:lang w:val="es-ES"/>
              </w:rPr>
              <w:noBreakHyphen/>
            </w:r>
            <w:r w:rsidRPr="006B66E8">
              <w:rPr>
                <w:rFonts w:ascii="Verdana" w:hAnsi="Verdana"/>
                <w:sz w:val="20"/>
                <w:szCs w:val="20"/>
                <w:lang w:val="es-ES"/>
              </w:rPr>
              <w:t>7</w:t>
            </w:r>
            <w:r w:rsidR="000C2110" w:rsidRPr="006B66E8">
              <w:rPr>
                <w:rFonts w:ascii="Verdana" w:hAnsi="Verdana"/>
                <w:sz w:val="20"/>
                <w:szCs w:val="20"/>
                <w:lang w:val="es-ES"/>
              </w:rPr>
              <w:t> </w:t>
            </w:r>
            <w:r w:rsidRPr="006B66E8">
              <w:rPr>
                <w:rFonts w:ascii="Verdana" w:hAnsi="Verdana"/>
                <w:sz w:val="20"/>
                <w:szCs w:val="20"/>
                <w:lang w:val="es-ES"/>
              </w:rPr>
              <w:t>025</w:t>
            </w:r>
            <w:r w:rsidR="00A84B3C" w:rsidRPr="006B66E8">
              <w:rPr>
                <w:rFonts w:ascii="Verdana" w:hAnsi="Verdana"/>
                <w:sz w:val="20"/>
                <w:szCs w:val="20"/>
                <w:lang w:val="es-ES"/>
              </w:rPr>
              <w:t> </w:t>
            </w:r>
            <w:r w:rsidRPr="006B66E8">
              <w:rPr>
                <w:rFonts w:ascii="Verdana" w:hAnsi="Verdana"/>
                <w:sz w:val="20"/>
                <w:szCs w:val="20"/>
                <w:lang w:val="es-ES"/>
              </w:rPr>
              <w:t xml:space="preserve">MHz, 7 025-7 125 MHz o 10,0-10,5 GHz para las IMT. Si se efectuase una identificación, la OMM apoyaría las medidas siguientes: </w:t>
            </w:r>
          </w:p>
          <w:p w14:paraId="114B23A9" w14:textId="4F81333F" w:rsidR="001A0E19" w:rsidRPr="006B66E8" w:rsidRDefault="008907B5" w:rsidP="00681435">
            <w:pPr>
              <w:pStyle w:val="Alinea"/>
              <w:numPr>
                <w:ilvl w:val="0"/>
                <w:numId w:val="3"/>
              </w:numPr>
              <w:suppressAutoHyphens/>
              <w:autoSpaceDN w:val="0"/>
              <w:spacing w:before="240" w:after="240"/>
              <w:ind w:left="589" w:hanging="567"/>
              <w:jc w:val="left"/>
              <w:textAlignment w:val="baseline"/>
              <w:rPr>
                <w:rFonts w:ascii="Verdana" w:hAnsi="Verdana"/>
                <w:sz w:val="20"/>
                <w:szCs w:val="20"/>
                <w:lang w:val="es-ES"/>
              </w:rPr>
            </w:pPr>
            <w:r w:rsidRPr="006B66E8">
              <w:rPr>
                <w:rFonts w:ascii="Verdana" w:hAnsi="Verdana"/>
                <w:sz w:val="20"/>
                <w:szCs w:val="20"/>
                <w:lang w:val="es-ES"/>
              </w:rPr>
              <w:t>La utilización continuada del SETS (pasivo) en las bandas de frecuencias de 6 425</w:t>
            </w:r>
            <w:r w:rsidR="001A0E19" w:rsidRPr="006B66E8">
              <w:rPr>
                <w:rFonts w:ascii="Verdana" w:hAnsi="Verdana"/>
                <w:sz w:val="20"/>
                <w:szCs w:val="20"/>
                <w:lang w:val="es-ES"/>
              </w:rPr>
              <w:noBreakHyphen/>
            </w:r>
            <w:r w:rsidRPr="006B66E8">
              <w:rPr>
                <w:rFonts w:ascii="Verdana" w:hAnsi="Verdana"/>
                <w:sz w:val="20"/>
                <w:szCs w:val="20"/>
                <w:lang w:val="es-ES"/>
              </w:rPr>
              <w:t>7 075</w:t>
            </w:r>
            <w:r w:rsidR="00A84B3C" w:rsidRPr="006B66E8">
              <w:rPr>
                <w:rFonts w:ascii="Verdana" w:hAnsi="Verdana"/>
                <w:sz w:val="20"/>
                <w:szCs w:val="20"/>
                <w:lang w:val="es-ES"/>
              </w:rPr>
              <w:t> </w:t>
            </w:r>
            <w:r w:rsidRPr="006B66E8">
              <w:rPr>
                <w:rFonts w:ascii="Verdana" w:hAnsi="Verdana"/>
                <w:sz w:val="20"/>
                <w:szCs w:val="20"/>
                <w:lang w:val="es-ES"/>
              </w:rPr>
              <w:t xml:space="preserve">MHz y </w:t>
            </w:r>
            <w:r w:rsidR="00AB2ED0" w:rsidRPr="006B66E8">
              <w:rPr>
                <w:rFonts w:ascii="Verdana" w:hAnsi="Verdana"/>
                <w:sz w:val="20"/>
                <w:szCs w:val="20"/>
                <w:lang w:val="es-ES"/>
              </w:rPr>
              <w:t xml:space="preserve">de </w:t>
            </w:r>
            <w:r w:rsidRPr="006B66E8">
              <w:rPr>
                <w:rFonts w:ascii="Verdana" w:hAnsi="Verdana"/>
                <w:sz w:val="20"/>
                <w:szCs w:val="20"/>
                <w:lang w:val="es-ES"/>
              </w:rPr>
              <w:t xml:space="preserve">7 075-7 250 MHz. La OMM entiende que en la </w:t>
            </w:r>
            <w:r w:rsidRPr="006B66E8">
              <w:rPr>
                <w:rFonts w:ascii="Verdana" w:hAnsi="Verdana"/>
                <w:b/>
                <w:bCs/>
                <w:sz w:val="20"/>
                <w:szCs w:val="20"/>
                <w:lang w:val="es-ES"/>
              </w:rPr>
              <w:t xml:space="preserve">nota 5.458 </w:t>
            </w:r>
            <w:r w:rsidRPr="006B66E8">
              <w:rPr>
                <w:rFonts w:ascii="Verdana" w:hAnsi="Verdana"/>
                <w:sz w:val="20"/>
                <w:szCs w:val="20"/>
                <w:lang w:val="es-ES"/>
              </w:rPr>
              <w:t xml:space="preserve">del Reglamento de Radiocomunicaciones no se prevé una atribución a este servicio. </w:t>
            </w:r>
            <w:r w:rsidR="001A0E19" w:rsidRPr="006B66E8">
              <w:rPr>
                <w:rFonts w:ascii="Verdana" w:hAnsi="Verdana"/>
                <w:sz w:val="20"/>
                <w:szCs w:val="20"/>
                <w:lang w:val="es-ES"/>
              </w:rPr>
              <w:br/>
            </w:r>
            <w:r w:rsidRPr="006B66E8">
              <w:rPr>
                <w:rFonts w:ascii="Verdana" w:hAnsi="Verdana"/>
                <w:sz w:val="20"/>
                <w:szCs w:val="20"/>
                <w:lang w:val="es-ES"/>
              </w:rPr>
              <w:t xml:space="preserve">No obstante, debido a la importancia primordial de las mediciones de la temperatura de la superficie del mar realizadas en estas bandas de frecuencias, la OMM alienta </w:t>
            </w:r>
            <w:r w:rsidR="001A0E19" w:rsidRPr="006B66E8">
              <w:rPr>
                <w:rFonts w:ascii="Verdana" w:hAnsi="Verdana"/>
                <w:sz w:val="20"/>
                <w:szCs w:val="20"/>
                <w:lang w:val="es-ES"/>
              </w:rPr>
              <w:br/>
            </w:r>
            <w:r w:rsidRPr="006B66E8">
              <w:rPr>
                <w:rFonts w:ascii="Verdana" w:hAnsi="Verdana"/>
                <w:sz w:val="20"/>
                <w:szCs w:val="20"/>
                <w:lang w:val="es-ES"/>
              </w:rPr>
              <w:t xml:space="preserve">a las administraciones a que tengan en cuenta las necesidades del SETS (pasivo) </w:t>
            </w:r>
            <w:r w:rsidR="001A0E19" w:rsidRPr="006B66E8">
              <w:rPr>
                <w:rFonts w:ascii="Verdana" w:hAnsi="Verdana"/>
                <w:sz w:val="20"/>
                <w:szCs w:val="20"/>
                <w:lang w:val="es-ES"/>
              </w:rPr>
              <w:br/>
            </w:r>
            <w:r w:rsidRPr="006B66E8">
              <w:rPr>
                <w:rFonts w:ascii="Verdana" w:hAnsi="Verdana"/>
                <w:sz w:val="20"/>
                <w:szCs w:val="20"/>
                <w:lang w:val="es-ES"/>
              </w:rPr>
              <w:t xml:space="preserve">en la planificación de la utilización futura de las bandas de 6 425-7 075 MHz y </w:t>
            </w:r>
            <w:r w:rsidR="008C09C4" w:rsidRPr="006B66E8">
              <w:rPr>
                <w:rFonts w:ascii="Verdana" w:hAnsi="Verdana"/>
                <w:sz w:val="20"/>
                <w:szCs w:val="20"/>
                <w:lang w:val="es-ES"/>
              </w:rPr>
              <w:t xml:space="preserve">de </w:t>
            </w:r>
            <w:r w:rsidRPr="006B66E8">
              <w:rPr>
                <w:rFonts w:ascii="Verdana" w:hAnsi="Verdana"/>
                <w:sz w:val="20"/>
                <w:szCs w:val="20"/>
                <w:lang w:val="es-ES"/>
              </w:rPr>
              <w:t>7</w:t>
            </w:r>
            <w:r w:rsidR="001A0E19" w:rsidRPr="006B66E8">
              <w:rPr>
                <w:rFonts w:ascii="Verdana" w:hAnsi="Verdana"/>
                <w:sz w:val="20"/>
                <w:szCs w:val="20"/>
                <w:lang w:val="es-ES"/>
              </w:rPr>
              <w:t> </w:t>
            </w:r>
            <w:r w:rsidRPr="006B66E8">
              <w:rPr>
                <w:rFonts w:ascii="Verdana" w:hAnsi="Verdana"/>
                <w:sz w:val="20"/>
                <w:szCs w:val="20"/>
                <w:lang w:val="es-ES"/>
              </w:rPr>
              <w:t>075</w:t>
            </w:r>
            <w:r w:rsidR="001A0E19" w:rsidRPr="006B66E8">
              <w:rPr>
                <w:rFonts w:ascii="Verdana" w:hAnsi="Verdana"/>
                <w:sz w:val="20"/>
                <w:szCs w:val="20"/>
                <w:lang w:val="es-ES"/>
              </w:rPr>
              <w:noBreakHyphen/>
            </w:r>
            <w:r w:rsidRPr="006B66E8">
              <w:rPr>
                <w:rFonts w:ascii="Verdana" w:hAnsi="Verdana"/>
                <w:sz w:val="20"/>
                <w:szCs w:val="20"/>
                <w:lang w:val="es-ES"/>
              </w:rPr>
              <w:t>7</w:t>
            </w:r>
            <w:r w:rsidR="001A0E19" w:rsidRPr="006B66E8">
              <w:rPr>
                <w:rFonts w:ascii="Verdana" w:hAnsi="Verdana"/>
                <w:sz w:val="20"/>
                <w:szCs w:val="20"/>
                <w:lang w:val="es-ES"/>
              </w:rPr>
              <w:t> </w:t>
            </w:r>
            <w:r w:rsidRPr="006B66E8">
              <w:rPr>
                <w:rFonts w:ascii="Verdana" w:hAnsi="Verdana"/>
                <w:sz w:val="20"/>
                <w:szCs w:val="20"/>
                <w:lang w:val="es-ES"/>
              </w:rPr>
              <w:t>250</w:t>
            </w:r>
            <w:r w:rsidR="001A0E19" w:rsidRPr="006B66E8">
              <w:rPr>
                <w:rFonts w:ascii="Verdana" w:hAnsi="Verdana"/>
                <w:sz w:val="20"/>
                <w:szCs w:val="20"/>
                <w:lang w:val="es-ES"/>
              </w:rPr>
              <w:t> </w:t>
            </w:r>
            <w:r w:rsidRPr="006B66E8">
              <w:rPr>
                <w:rFonts w:ascii="Verdana" w:hAnsi="Verdana"/>
                <w:sz w:val="20"/>
                <w:szCs w:val="20"/>
                <w:lang w:val="es-ES"/>
              </w:rPr>
              <w:t>MHz cuando consideren la identificación de estas bandas de frecuencias para las IMT.</w:t>
            </w:r>
          </w:p>
          <w:p w14:paraId="114B23AA" w14:textId="77777777" w:rsidR="001A0E19" w:rsidRPr="006B66E8" w:rsidRDefault="008907B5" w:rsidP="001A0E19">
            <w:pPr>
              <w:pStyle w:val="Alinea"/>
              <w:numPr>
                <w:ilvl w:val="0"/>
                <w:numId w:val="3"/>
              </w:numPr>
              <w:suppressAutoHyphens/>
              <w:autoSpaceDN w:val="0"/>
              <w:spacing w:before="240" w:after="240"/>
              <w:ind w:left="589" w:hanging="567"/>
              <w:jc w:val="left"/>
              <w:textAlignment w:val="baseline"/>
              <w:rPr>
                <w:rFonts w:ascii="Verdana" w:hAnsi="Verdana"/>
                <w:sz w:val="20"/>
                <w:szCs w:val="20"/>
                <w:lang w:val="es-ES"/>
              </w:rPr>
            </w:pPr>
            <w:r w:rsidRPr="006B66E8">
              <w:rPr>
                <w:rFonts w:ascii="Verdana" w:hAnsi="Verdana"/>
                <w:sz w:val="20"/>
                <w:szCs w:val="20"/>
                <w:lang w:val="es-ES"/>
              </w:rPr>
              <w:t>La aplicación de disposiciones reglamentarias adecuadas en la banda de frecuencias de 10,6-10,7 GHz, que prevean los límites necesarios para proteger el funcionamiento del SETS (pasivo) frente a emisiones no deseadas de las IMT que operan en la banda de 10,0-10,5 GHz.</w:t>
            </w:r>
          </w:p>
          <w:p w14:paraId="114B23AB" w14:textId="77777777" w:rsidR="008907B5" w:rsidRPr="006B66E8" w:rsidRDefault="008907B5" w:rsidP="001A0E19">
            <w:pPr>
              <w:pStyle w:val="Alinea"/>
              <w:numPr>
                <w:ilvl w:val="0"/>
                <w:numId w:val="3"/>
              </w:numPr>
              <w:suppressAutoHyphens/>
              <w:autoSpaceDN w:val="0"/>
              <w:spacing w:before="240" w:after="240"/>
              <w:ind w:left="589" w:hanging="567"/>
              <w:jc w:val="left"/>
              <w:textAlignment w:val="baseline"/>
              <w:rPr>
                <w:rFonts w:ascii="Verdana" w:hAnsi="Verdana"/>
                <w:sz w:val="20"/>
                <w:szCs w:val="20"/>
                <w:lang w:val="es-ES"/>
              </w:rPr>
            </w:pPr>
            <w:r w:rsidRPr="006B66E8">
              <w:rPr>
                <w:rFonts w:ascii="Verdana" w:hAnsi="Verdana"/>
                <w:sz w:val="20"/>
                <w:szCs w:val="20"/>
                <w:lang w:val="es-ES"/>
              </w:rPr>
              <w:t>La aplicación de disposiciones reglamentarias adecuadas para proteger el funcionamiento del SETS (activo) en la banda de 10-10,4 GHz.</w:t>
            </w:r>
          </w:p>
        </w:tc>
      </w:tr>
    </w:tbl>
    <w:p w14:paraId="114B23AD" w14:textId="77777777" w:rsidR="00EA1D65" w:rsidRPr="006B66E8" w:rsidRDefault="00EA1D65" w:rsidP="001A0E19">
      <w:pPr>
        <w:pStyle w:val="Heading3"/>
        <w:tabs>
          <w:tab w:val="clear" w:pos="1134"/>
          <w:tab w:val="left" w:pos="567"/>
        </w:tabs>
        <w:spacing w:before="240" w:after="240"/>
        <w:rPr>
          <w:lang w:val="es-ES"/>
        </w:rPr>
      </w:pPr>
      <w:r w:rsidRPr="006B66E8">
        <w:rPr>
          <w:lang w:val="es-ES"/>
        </w:rPr>
        <w:br w:type="page"/>
      </w:r>
    </w:p>
    <w:p w14:paraId="114B23AE" w14:textId="77777777" w:rsidR="008907B5" w:rsidRPr="006B66E8" w:rsidRDefault="008907B5" w:rsidP="002D3080">
      <w:pPr>
        <w:pStyle w:val="Heading3"/>
        <w:spacing w:before="240" w:after="240"/>
        <w:rPr>
          <w:lang w:val="es-ES"/>
        </w:rPr>
      </w:pPr>
      <w:r w:rsidRPr="006B66E8">
        <w:rPr>
          <w:lang w:val="es-ES"/>
        </w:rPr>
        <w:lastRenderedPageBreak/>
        <w:t>3.2</w:t>
      </w:r>
      <w:r w:rsidRPr="006B66E8">
        <w:rPr>
          <w:lang w:val="es-ES"/>
        </w:rPr>
        <w:tab/>
        <w:t>Punto 1.3 del orden del día</w:t>
      </w:r>
    </w:p>
    <w:p w14:paraId="114B23AF" w14:textId="77777777" w:rsidR="008907B5" w:rsidRPr="006B66E8" w:rsidRDefault="008907B5" w:rsidP="008907B5">
      <w:pPr>
        <w:spacing w:before="240" w:after="240"/>
        <w:jc w:val="left"/>
        <w:rPr>
          <w:i/>
          <w:iCs/>
          <w:lang w:val="es-ES"/>
        </w:rPr>
      </w:pPr>
      <w:r w:rsidRPr="006B66E8">
        <w:rPr>
          <w:i/>
          <w:iCs/>
          <w:lang w:val="es-ES"/>
        </w:rPr>
        <w:t>“considerar la atribución a título primario de la banda de frecuencias 3 600-3</w:t>
      </w:r>
      <w:r w:rsidR="00EA1D65" w:rsidRPr="006B66E8">
        <w:rPr>
          <w:i/>
          <w:iCs/>
          <w:lang w:val="es-ES"/>
        </w:rPr>
        <w:t> </w:t>
      </w:r>
      <w:r w:rsidRPr="006B66E8">
        <w:rPr>
          <w:i/>
          <w:iCs/>
          <w:lang w:val="es-ES"/>
        </w:rPr>
        <w:t>800</w:t>
      </w:r>
      <w:r w:rsidR="00EA1D65" w:rsidRPr="006B66E8">
        <w:rPr>
          <w:i/>
          <w:iCs/>
          <w:lang w:val="es-ES"/>
        </w:rPr>
        <w:t> </w:t>
      </w:r>
      <w:r w:rsidRPr="006B66E8">
        <w:rPr>
          <w:i/>
          <w:iCs/>
          <w:lang w:val="es-ES"/>
        </w:rPr>
        <w:t>MHz al servicio móvil en la Región 1 y la adopción de las medidas reglamentarias convenientes, de conformidad con la Resolución 246 (CMR-19)”.</w:t>
      </w:r>
    </w:p>
    <w:p w14:paraId="114B23B0"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Dado que una identificación de la banda de frecuencias de 3 600-3 800 MHz para las IMT podría provocar un cambio en la utilización actual del SFS en la banda por encima de 3 800 MHz, las posibles repercusiones en el SFS (espacio-Tierra) por encima de 3 800 MHz podrían ser preocupantes, ya que el uso de satélites de comunicación comerciales en el marco de GEONETCast —una red mundial de sistemas de difusión por satélite </w:t>
      </w:r>
      <w:r w:rsidR="0095202F" w:rsidRPr="006B66E8">
        <w:rPr>
          <w:rFonts w:ascii="Verdana" w:hAnsi="Verdana"/>
          <w:sz w:val="20"/>
          <w:szCs w:val="20"/>
          <w:lang w:val="es-ES"/>
        </w:rPr>
        <w:t xml:space="preserve">permanente </w:t>
      </w:r>
      <w:r w:rsidRPr="006B66E8">
        <w:rPr>
          <w:rFonts w:ascii="Verdana" w:hAnsi="Verdana"/>
          <w:sz w:val="20"/>
          <w:szCs w:val="20"/>
          <w:lang w:val="es-ES"/>
        </w:rPr>
        <w:t>y rentable que utiliza satélites comerciales con más de 6 000 estaciones de usuario en 169 países— facilita la distribución de datos meteorológicos.</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3B3" w14:textId="77777777" w:rsidTr="008907B5">
        <w:trPr>
          <w:trHeight w:val="1747"/>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3B1" w14:textId="77777777" w:rsidR="008907B5" w:rsidRPr="006B66E8" w:rsidRDefault="008907B5">
            <w:pPr>
              <w:pStyle w:val="Headingb"/>
              <w:spacing w:before="240" w:after="240"/>
              <w:rPr>
                <w:rFonts w:ascii="Verdana" w:hAnsi="Verdana"/>
                <w:sz w:val="20"/>
                <w:lang w:val="es-ES"/>
              </w:rPr>
            </w:pPr>
            <w:bookmarkStart w:id="10" w:name="_Hlk49957380"/>
            <w:r w:rsidRPr="006B66E8">
              <w:rPr>
                <w:rFonts w:ascii="Verdana" w:hAnsi="Verdana"/>
                <w:bCs/>
                <w:sz w:val="20"/>
                <w:lang w:val="es-ES"/>
              </w:rPr>
              <w:t>Posición de la Organización Meteorológica Mundial respecto al punto 1.3 del orden del día de la Conferencia Mundial de Radiocomunicaciones de 2023</w:t>
            </w:r>
          </w:p>
          <w:p w14:paraId="114B23B2" w14:textId="670A10E9"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Dado que una identificación de la banda de frecuencias de 3 600-3 800 MHz para las IMT podría provocar un cambio en la utilización actual del SFS en la banda por encima de 3</w:t>
            </w:r>
            <w:r w:rsidR="00EA1D65" w:rsidRPr="006B66E8">
              <w:rPr>
                <w:rFonts w:ascii="Verdana" w:hAnsi="Verdana"/>
                <w:sz w:val="20"/>
                <w:szCs w:val="20"/>
                <w:lang w:val="es-ES"/>
              </w:rPr>
              <w:t> </w:t>
            </w:r>
            <w:r w:rsidRPr="006B66E8">
              <w:rPr>
                <w:rFonts w:ascii="Verdana" w:hAnsi="Verdana"/>
                <w:sz w:val="20"/>
                <w:szCs w:val="20"/>
                <w:lang w:val="es-ES"/>
              </w:rPr>
              <w:t>800</w:t>
            </w:r>
            <w:r w:rsidR="00EA1D65" w:rsidRPr="006B66E8">
              <w:rPr>
                <w:rFonts w:ascii="Verdana" w:hAnsi="Verdana"/>
                <w:sz w:val="20"/>
                <w:szCs w:val="20"/>
                <w:lang w:val="es-ES"/>
              </w:rPr>
              <w:t> </w:t>
            </w:r>
            <w:r w:rsidRPr="006B66E8">
              <w:rPr>
                <w:rFonts w:ascii="Verdana" w:hAnsi="Verdana"/>
                <w:sz w:val="20"/>
                <w:szCs w:val="20"/>
                <w:lang w:val="es-ES"/>
              </w:rPr>
              <w:t xml:space="preserve">MHz, la OMM manifiesta su inquietud en cuanto a las posibles repercusiones en la utilización futura de la actual atribución al SFS (espacio-Tierra) en la banda de frecuencias </w:t>
            </w:r>
            <w:r w:rsidR="00A84B3C" w:rsidRPr="006B66E8">
              <w:rPr>
                <w:rFonts w:ascii="Verdana" w:hAnsi="Verdana"/>
                <w:sz w:val="20"/>
                <w:szCs w:val="20"/>
                <w:lang w:val="es-ES"/>
              </w:rPr>
              <w:br/>
            </w:r>
            <w:r w:rsidRPr="006B66E8">
              <w:rPr>
                <w:rFonts w:ascii="Verdana" w:hAnsi="Verdana"/>
                <w:sz w:val="20"/>
                <w:szCs w:val="20"/>
                <w:lang w:val="es-ES"/>
              </w:rPr>
              <w:t>de 3,8-4,2 GHz utilizada para la distribución de datos meteorológicos en el marco de la red GEONETCast.</w:t>
            </w:r>
          </w:p>
        </w:tc>
      </w:tr>
    </w:tbl>
    <w:bookmarkEnd w:id="10"/>
    <w:p w14:paraId="114B23B4" w14:textId="77777777" w:rsidR="008907B5" w:rsidRPr="006B66E8" w:rsidRDefault="008907B5" w:rsidP="002D3080">
      <w:pPr>
        <w:pStyle w:val="Heading3"/>
        <w:spacing w:before="240" w:after="240"/>
        <w:rPr>
          <w:lang w:val="es-ES"/>
        </w:rPr>
      </w:pPr>
      <w:r w:rsidRPr="006B66E8">
        <w:rPr>
          <w:lang w:val="es-ES"/>
        </w:rPr>
        <w:t>3.3</w:t>
      </w:r>
      <w:r w:rsidRPr="006B66E8">
        <w:rPr>
          <w:lang w:val="es-ES"/>
        </w:rPr>
        <w:tab/>
        <w:t>Punto 1.4 del orden del día</w:t>
      </w:r>
    </w:p>
    <w:p w14:paraId="114B23B5" w14:textId="77777777" w:rsidR="008907B5" w:rsidRPr="006B66E8" w:rsidRDefault="008907B5" w:rsidP="008907B5">
      <w:pPr>
        <w:spacing w:before="240" w:after="240"/>
        <w:jc w:val="left"/>
        <w:rPr>
          <w:lang w:val="es-ES"/>
        </w:rPr>
      </w:pPr>
      <w:r w:rsidRPr="006B66E8">
        <w:rPr>
          <w:i/>
          <w:iCs/>
          <w:lang w:val="es-ES"/>
        </w:rPr>
        <w:t>“considerar, de conformidad con la Resolución 247 (CMR-19), la utilización de estaciones en plataformas a gran altitud como estaciones base IMT (HIBS) del servicio móvil en ciertas bandas de frecuencias por debajo de 2,7 GHz ya identificadas para las IMT, a nivel mundial o regional”.</w:t>
      </w:r>
    </w:p>
    <w:p w14:paraId="114B23B6" w14:textId="77777777" w:rsidR="008907B5" w:rsidRPr="006B66E8" w:rsidRDefault="008907B5" w:rsidP="008907B5">
      <w:pPr>
        <w:pStyle w:val="ListParagraph"/>
        <w:spacing w:before="240" w:after="240"/>
        <w:ind w:right="-113"/>
        <w:jc w:val="left"/>
        <w:rPr>
          <w:rFonts w:ascii="Verdana" w:hAnsi="Verdana"/>
          <w:sz w:val="20"/>
          <w:szCs w:val="20"/>
          <w:lang w:val="es-ES"/>
        </w:rPr>
      </w:pPr>
      <w:r w:rsidRPr="006B66E8">
        <w:rPr>
          <w:rFonts w:ascii="Verdana" w:hAnsi="Verdana"/>
          <w:sz w:val="20"/>
          <w:szCs w:val="20"/>
          <w:lang w:val="es-ES"/>
        </w:rPr>
        <w:t>La experiencia operativa de al menos un Miembro de la OMM muestra que las estaciones base terrenas inalámbricas de banda ancha que operan por debajo de 2 690 MHz pueden provocar interferencias en los radares meteorológicos que operan por encima de 2 700 MHz. La interferencia se debe a la irrupción de emisiones no deseadas en la banda de frecuencias del radar y no al hecho de que la selectividad del receptor del radar se adentre en la banda de frecuencias de las estaciones base inalámbricas de banda ancha. La mitigación de las interferencias solo puede lograrse mediante la reducción de las emisiones fuera de banda procedentes de estaci</w:t>
      </w:r>
      <w:r w:rsidR="00A35CFE" w:rsidRPr="006B66E8">
        <w:rPr>
          <w:rFonts w:ascii="Verdana" w:hAnsi="Verdana"/>
          <w:sz w:val="20"/>
          <w:szCs w:val="20"/>
          <w:lang w:val="es-ES"/>
        </w:rPr>
        <w:t>o</w:t>
      </w:r>
      <w:r w:rsidRPr="006B66E8">
        <w:rPr>
          <w:rFonts w:ascii="Verdana" w:hAnsi="Verdana"/>
          <w:sz w:val="20"/>
          <w:szCs w:val="20"/>
          <w:lang w:val="es-ES"/>
        </w:rPr>
        <w:t>n</w:t>
      </w:r>
      <w:r w:rsidR="00A35CFE" w:rsidRPr="006B66E8">
        <w:rPr>
          <w:rFonts w:ascii="Verdana" w:hAnsi="Verdana"/>
          <w:sz w:val="20"/>
          <w:szCs w:val="20"/>
          <w:lang w:val="es-ES"/>
        </w:rPr>
        <w:t>es</w:t>
      </w:r>
      <w:r w:rsidRPr="006B66E8">
        <w:rPr>
          <w:rFonts w:ascii="Verdana" w:hAnsi="Verdana"/>
          <w:sz w:val="20"/>
          <w:szCs w:val="20"/>
          <w:lang w:val="es-ES"/>
        </w:rPr>
        <w:t xml:space="preserve"> base inalámbrica</w:t>
      </w:r>
      <w:r w:rsidR="00A35CFE" w:rsidRPr="006B66E8">
        <w:rPr>
          <w:rFonts w:ascii="Verdana" w:hAnsi="Verdana"/>
          <w:sz w:val="20"/>
          <w:szCs w:val="20"/>
          <w:lang w:val="es-ES"/>
        </w:rPr>
        <w:t>s</w:t>
      </w:r>
      <w:r w:rsidRPr="006B66E8">
        <w:rPr>
          <w:rFonts w:ascii="Verdana" w:hAnsi="Verdana"/>
          <w:sz w:val="20"/>
          <w:szCs w:val="20"/>
          <w:lang w:val="es-ES"/>
        </w:rPr>
        <w:t xml:space="preserve"> de banda ancha. En el informe M.2316</w:t>
      </w:r>
      <w:r w:rsidRPr="006B66E8">
        <w:rPr>
          <w:rStyle w:val="FootnoteReference"/>
          <w:rFonts w:ascii="Verdana" w:hAnsi="Verdana"/>
          <w:sz w:val="20"/>
          <w:szCs w:val="20"/>
          <w:lang w:val="es-ES"/>
        </w:rPr>
        <w:footnoteReference w:id="8"/>
      </w:r>
      <w:r w:rsidRPr="006B66E8">
        <w:rPr>
          <w:rFonts w:ascii="Verdana" w:hAnsi="Verdana"/>
          <w:sz w:val="20"/>
          <w:szCs w:val="20"/>
          <w:lang w:val="es-ES"/>
        </w:rPr>
        <w:t xml:space="preserve"> del UIT-R se proporciona más información al respecto. En el marco de este punto del orden del día de la Conferencia Mundial de Radiocomunicaciones de 2023 se considera el funcionamiento de las estaciones base inalámbricas de banda ancha en plataformas aerotransportadas, que introducirán una posible fuente de emisiones no deseadas en el haz principal de la antena del radar y cerca de él, lo que supondrá un incremento de la ganancia de la antena en el trayecto de interferencia de hasta 35 dB con respecto a los casos reales de interferencia señalados con anterioridad. Para que puedan ponerse de manifiesto repercusiones representativas en el funcionamiento de los radares meteorológicos, los estudios deben tener en cuenta la distribución espacial de los casos de interferencia.</w:t>
      </w:r>
    </w:p>
    <w:p w14:paraId="114B23B7"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En estudios anteriores realizados en Europa (Informe 309 del Comité de Comunicaciones Electrónicas) se concluye que pueden producirse interferencias en la atribución al MetSat en la banda adyacente (1 675-1 710 MHz) si la banda de frecuencias de 1 710-1 855 MHz, ya identificada para las IMT, se utiliza en el sentido del enlace descendente desde una plataforma </w:t>
      </w:r>
      <w:r w:rsidRPr="006B66E8">
        <w:rPr>
          <w:rFonts w:ascii="Verdana" w:hAnsi="Verdana"/>
          <w:sz w:val="20"/>
          <w:szCs w:val="20"/>
          <w:lang w:val="es-ES"/>
        </w:rPr>
        <w:lastRenderedPageBreak/>
        <w:t>aerotransportada. Los sistemas geoestacionarios y no geoestacionarios del MetSat utilizan la banda de frecuencias de 1 675-1 710 MHz a nivel mundial para el enlace descendente de los datos medidos, así como para difu</w:t>
      </w:r>
      <w:r w:rsidR="003211DE" w:rsidRPr="006B66E8">
        <w:rPr>
          <w:rFonts w:ascii="Verdana" w:hAnsi="Verdana"/>
          <w:sz w:val="20"/>
          <w:szCs w:val="20"/>
          <w:lang w:val="es-ES"/>
        </w:rPr>
        <w:t xml:space="preserve">ndir </w:t>
      </w:r>
      <w:r w:rsidRPr="006B66E8">
        <w:rPr>
          <w:rFonts w:ascii="Verdana" w:hAnsi="Verdana"/>
          <w:sz w:val="20"/>
          <w:szCs w:val="20"/>
          <w:lang w:val="es-ES"/>
        </w:rPr>
        <w:t>los datos directamente a los usuarios</w:t>
      </w:r>
      <w:r w:rsidR="003211DE" w:rsidRPr="006B66E8">
        <w:rPr>
          <w:rFonts w:ascii="Verdana" w:hAnsi="Verdana"/>
          <w:sz w:val="20"/>
          <w:szCs w:val="20"/>
          <w:lang w:val="es-ES"/>
        </w:rPr>
        <w:t xml:space="preserve"> a </w:t>
      </w:r>
      <w:r w:rsidR="00E97A36" w:rsidRPr="006B66E8">
        <w:rPr>
          <w:rFonts w:ascii="Verdana" w:hAnsi="Verdana"/>
          <w:sz w:val="20"/>
          <w:szCs w:val="20"/>
          <w:lang w:val="es-ES"/>
        </w:rPr>
        <w:t xml:space="preserve">escala </w:t>
      </w:r>
      <w:r w:rsidR="003211DE" w:rsidRPr="006B66E8">
        <w:rPr>
          <w:rFonts w:ascii="Verdana" w:hAnsi="Verdana"/>
          <w:sz w:val="20"/>
          <w:szCs w:val="20"/>
          <w:lang w:val="es-ES"/>
        </w:rPr>
        <w:t>mundial</w:t>
      </w:r>
      <w:r w:rsidRPr="006B66E8">
        <w:rPr>
          <w:rFonts w:ascii="Verdana" w:hAnsi="Verdana"/>
          <w:sz w:val="20"/>
          <w:szCs w:val="20"/>
          <w:lang w:val="es-ES"/>
        </w:rPr>
        <w:t>.</w:t>
      </w:r>
    </w:p>
    <w:p w14:paraId="114B23B8"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Para un abanico de aplicaciones diferentes, el uso de la banda L del MetSat (1</w:t>
      </w:r>
      <w:r w:rsidR="00EA1D65" w:rsidRPr="006B66E8">
        <w:rPr>
          <w:rFonts w:ascii="Verdana" w:hAnsi="Verdana"/>
          <w:sz w:val="20"/>
          <w:szCs w:val="20"/>
          <w:lang w:val="es-ES"/>
        </w:rPr>
        <w:t> </w:t>
      </w:r>
      <w:r w:rsidRPr="006B66E8">
        <w:rPr>
          <w:rFonts w:ascii="Verdana" w:hAnsi="Verdana"/>
          <w:sz w:val="20"/>
          <w:szCs w:val="20"/>
          <w:lang w:val="es-ES"/>
        </w:rPr>
        <w:t>675-1</w:t>
      </w:r>
      <w:r w:rsidR="00EA1D65" w:rsidRPr="006B66E8">
        <w:rPr>
          <w:rFonts w:ascii="Verdana" w:hAnsi="Verdana"/>
          <w:sz w:val="20"/>
          <w:szCs w:val="20"/>
          <w:lang w:val="es-ES"/>
        </w:rPr>
        <w:t> </w:t>
      </w:r>
      <w:r w:rsidRPr="006B66E8">
        <w:rPr>
          <w:rFonts w:ascii="Verdana" w:hAnsi="Verdana"/>
          <w:sz w:val="20"/>
          <w:szCs w:val="20"/>
          <w:lang w:val="es-ES"/>
        </w:rPr>
        <w:t>710</w:t>
      </w:r>
      <w:r w:rsidR="00EA1D65" w:rsidRPr="006B66E8">
        <w:rPr>
          <w:rFonts w:ascii="Verdana" w:hAnsi="Verdana"/>
          <w:sz w:val="20"/>
          <w:szCs w:val="20"/>
          <w:lang w:val="es-ES"/>
        </w:rPr>
        <w:t> </w:t>
      </w:r>
      <w:r w:rsidRPr="006B66E8">
        <w:rPr>
          <w:rFonts w:ascii="Verdana" w:hAnsi="Verdana"/>
          <w:sz w:val="20"/>
          <w:szCs w:val="20"/>
          <w:lang w:val="es-ES"/>
        </w:rPr>
        <w:t>MHz) es indispensable para los sistemas y redes satelitales en órbita geoestacionaria y no geoestacionaria del MetSat ya existentes o cuyo desarrollo está en curso, así como también para las futuras constelaciones de pequeños satélites del MetSat. Por consiguiente, es importante preservar la disponibilidad y la protección a largo plazo de la banda de frecuencias de 1</w:t>
      </w:r>
      <w:r w:rsidR="00224B5C" w:rsidRPr="006B66E8">
        <w:rPr>
          <w:rFonts w:ascii="Verdana" w:hAnsi="Verdana"/>
          <w:sz w:val="20"/>
          <w:szCs w:val="20"/>
          <w:lang w:val="es-ES"/>
        </w:rPr>
        <w:t> </w:t>
      </w:r>
      <w:r w:rsidRPr="006B66E8">
        <w:rPr>
          <w:rFonts w:ascii="Verdana" w:hAnsi="Verdana"/>
          <w:sz w:val="20"/>
          <w:szCs w:val="20"/>
          <w:lang w:val="es-ES"/>
        </w:rPr>
        <w:t>675-1</w:t>
      </w:r>
      <w:r w:rsidR="00224B5C" w:rsidRPr="006B66E8">
        <w:rPr>
          <w:rFonts w:ascii="Verdana" w:hAnsi="Verdana"/>
          <w:sz w:val="20"/>
          <w:szCs w:val="20"/>
          <w:lang w:val="es-ES"/>
        </w:rPr>
        <w:t> </w:t>
      </w:r>
      <w:r w:rsidRPr="006B66E8">
        <w:rPr>
          <w:rFonts w:ascii="Verdana" w:hAnsi="Verdana"/>
          <w:sz w:val="20"/>
          <w:szCs w:val="20"/>
          <w:lang w:val="es-ES"/>
        </w:rPr>
        <w:t>710</w:t>
      </w:r>
      <w:r w:rsidR="00224B5C" w:rsidRPr="006B66E8">
        <w:rPr>
          <w:rFonts w:ascii="Verdana" w:hAnsi="Verdana"/>
          <w:sz w:val="20"/>
          <w:szCs w:val="20"/>
          <w:lang w:val="es-ES"/>
        </w:rPr>
        <w:t> </w:t>
      </w:r>
      <w:r w:rsidRPr="006B66E8">
        <w:rPr>
          <w:rFonts w:ascii="Verdana" w:hAnsi="Verdana"/>
          <w:sz w:val="20"/>
          <w:szCs w:val="20"/>
          <w:lang w:val="es-ES"/>
        </w:rPr>
        <w:t>MHz para su uso por parte del MetSat.</w:t>
      </w:r>
    </w:p>
    <w:p w14:paraId="114B23B9"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Por último, dado que los sistemas satelitales del SETS/MetSat utilizan la banda de 2</w:t>
      </w:r>
      <w:r w:rsidR="00EA1D65" w:rsidRPr="006B66E8">
        <w:rPr>
          <w:rFonts w:ascii="Verdana" w:hAnsi="Verdana"/>
          <w:sz w:val="20"/>
          <w:szCs w:val="20"/>
          <w:lang w:val="es-ES"/>
        </w:rPr>
        <w:t> </w:t>
      </w:r>
      <w:r w:rsidRPr="006B66E8">
        <w:rPr>
          <w:rFonts w:ascii="Verdana" w:hAnsi="Verdana"/>
          <w:sz w:val="20"/>
          <w:szCs w:val="20"/>
          <w:lang w:val="es-ES"/>
        </w:rPr>
        <w:t>025</w:t>
      </w:r>
      <w:r w:rsidR="001624AE" w:rsidRPr="006B66E8">
        <w:rPr>
          <w:rFonts w:ascii="Verdana" w:hAnsi="Verdana"/>
          <w:sz w:val="20"/>
          <w:szCs w:val="20"/>
          <w:lang w:val="es-ES"/>
        </w:rPr>
        <w:noBreakHyphen/>
      </w:r>
      <w:r w:rsidRPr="006B66E8">
        <w:rPr>
          <w:rFonts w:ascii="Verdana" w:hAnsi="Verdana"/>
          <w:sz w:val="20"/>
          <w:szCs w:val="20"/>
          <w:lang w:val="es-ES"/>
        </w:rPr>
        <w:t>2</w:t>
      </w:r>
      <w:r w:rsidR="00EA1D65" w:rsidRPr="006B66E8">
        <w:rPr>
          <w:rFonts w:ascii="Verdana" w:hAnsi="Verdana"/>
          <w:sz w:val="20"/>
          <w:szCs w:val="20"/>
          <w:lang w:val="es-ES"/>
        </w:rPr>
        <w:t> </w:t>
      </w:r>
      <w:r w:rsidRPr="006B66E8">
        <w:rPr>
          <w:rFonts w:ascii="Verdana" w:hAnsi="Verdana"/>
          <w:sz w:val="20"/>
          <w:szCs w:val="20"/>
          <w:lang w:val="es-ES"/>
        </w:rPr>
        <w:t>110</w:t>
      </w:r>
      <w:r w:rsidR="00EA1D65" w:rsidRPr="006B66E8">
        <w:rPr>
          <w:rFonts w:ascii="Verdana" w:hAnsi="Verdana"/>
          <w:sz w:val="20"/>
          <w:szCs w:val="20"/>
          <w:lang w:val="es-ES"/>
        </w:rPr>
        <w:t> </w:t>
      </w:r>
      <w:r w:rsidRPr="006B66E8">
        <w:rPr>
          <w:rFonts w:ascii="Verdana" w:hAnsi="Verdana"/>
          <w:sz w:val="20"/>
          <w:szCs w:val="20"/>
          <w:lang w:val="es-ES"/>
        </w:rPr>
        <w:t xml:space="preserve">MHz para operaciones de telemando y para el enlace ascendente de datos </w:t>
      </w:r>
      <w:r w:rsidR="001624AE" w:rsidRPr="006B66E8">
        <w:rPr>
          <w:rFonts w:ascii="Verdana" w:hAnsi="Verdana"/>
          <w:sz w:val="20"/>
          <w:szCs w:val="20"/>
          <w:lang w:val="es-ES"/>
        </w:rPr>
        <w:br/>
      </w:r>
      <w:r w:rsidRPr="006B66E8">
        <w:rPr>
          <w:rFonts w:ascii="Verdana" w:hAnsi="Verdana"/>
          <w:sz w:val="20"/>
          <w:szCs w:val="20"/>
          <w:lang w:val="es-ES"/>
        </w:rPr>
        <w:t xml:space="preserve">de los instrumentos, la OMM manifiesta su inquietud en cuanto a la protección de las atribuciones del SETS/servicio de operaciones espaciales </w:t>
      </w:r>
      <w:r w:rsidR="00A0767F" w:rsidRPr="006B66E8">
        <w:rPr>
          <w:rFonts w:ascii="Verdana" w:hAnsi="Verdana"/>
          <w:sz w:val="20"/>
          <w:szCs w:val="20"/>
          <w:lang w:val="es-ES"/>
        </w:rPr>
        <w:t xml:space="preserve">(SOE) </w:t>
      </w:r>
      <w:r w:rsidRPr="006B66E8">
        <w:rPr>
          <w:rFonts w:ascii="Verdana" w:hAnsi="Verdana"/>
          <w:sz w:val="20"/>
          <w:szCs w:val="20"/>
          <w:lang w:val="es-ES"/>
        </w:rPr>
        <w:t>en la banda de frecuencias de 2</w:t>
      </w:r>
      <w:r w:rsidR="001624AE" w:rsidRPr="006B66E8">
        <w:rPr>
          <w:rFonts w:ascii="Verdana" w:hAnsi="Verdana"/>
          <w:sz w:val="20"/>
          <w:szCs w:val="20"/>
          <w:lang w:val="es-ES"/>
        </w:rPr>
        <w:t> </w:t>
      </w:r>
      <w:r w:rsidRPr="006B66E8">
        <w:rPr>
          <w:rFonts w:ascii="Verdana" w:hAnsi="Verdana"/>
          <w:sz w:val="20"/>
          <w:szCs w:val="20"/>
          <w:lang w:val="es-ES"/>
        </w:rPr>
        <w:t>025</w:t>
      </w:r>
      <w:r w:rsidR="001624AE" w:rsidRPr="006B66E8">
        <w:rPr>
          <w:rFonts w:ascii="Verdana" w:hAnsi="Verdana"/>
          <w:sz w:val="20"/>
          <w:szCs w:val="20"/>
          <w:lang w:val="es-ES"/>
        </w:rPr>
        <w:noBreakHyphen/>
      </w:r>
      <w:r w:rsidRPr="006B66E8">
        <w:rPr>
          <w:rFonts w:ascii="Verdana" w:hAnsi="Verdana"/>
          <w:sz w:val="20"/>
          <w:szCs w:val="20"/>
          <w:lang w:val="es-ES"/>
        </w:rPr>
        <w:t>2 110 MHz. La OMM reconoce que los equipos de las IMT ya están autorizados a operar en la banda de frecuencias de 2</w:t>
      </w:r>
      <w:r w:rsidR="00224B5C" w:rsidRPr="006B66E8">
        <w:rPr>
          <w:rFonts w:ascii="Verdana" w:hAnsi="Verdana"/>
          <w:sz w:val="20"/>
          <w:szCs w:val="20"/>
          <w:lang w:val="es-ES"/>
        </w:rPr>
        <w:t> </w:t>
      </w:r>
      <w:r w:rsidRPr="006B66E8">
        <w:rPr>
          <w:rFonts w:ascii="Verdana" w:hAnsi="Verdana"/>
          <w:sz w:val="20"/>
          <w:szCs w:val="20"/>
          <w:lang w:val="es-ES"/>
        </w:rPr>
        <w:t>110</w:t>
      </w:r>
      <w:r w:rsidR="00224B5C" w:rsidRPr="006B66E8">
        <w:rPr>
          <w:rFonts w:ascii="Verdana" w:hAnsi="Verdana"/>
          <w:sz w:val="20"/>
          <w:szCs w:val="20"/>
          <w:lang w:val="es-ES"/>
        </w:rPr>
        <w:noBreakHyphen/>
      </w:r>
      <w:r w:rsidRPr="006B66E8">
        <w:rPr>
          <w:rFonts w:ascii="Verdana" w:hAnsi="Verdana"/>
          <w:sz w:val="20"/>
          <w:szCs w:val="20"/>
          <w:lang w:val="es-ES"/>
        </w:rPr>
        <w:t>2</w:t>
      </w:r>
      <w:r w:rsidR="00224B5C" w:rsidRPr="006B66E8">
        <w:rPr>
          <w:rFonts w:ascii="Verdana" w:hAnsi="Verdana"/>
          <w:sz w:val="20"/>
          <w:szCs w:val="20"/>
          <w:lang w:val="es-ES"/>
        </w:rPr>
        <w:t> </w:t>
      </w:r>
      <w:r w:rsidRPr="006B66E8">
        <w:rPr>
          <w:rFonts w:ascii="Verdana" w:hAnsi="Verdana"/>
          <w:sz w:val="20"/>
          <w:szCs w:val="20"/>
          <w:lang w:val="es-ES"/>
        </w:rPr>
        <w:t>170 MHz (en el sentido del enlace descendente).</w:t>
      </w:r>
    </w:p>
    <w:p w14:paraId="114B23BA"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El Grupo de Trabajo 5D es el encargado de llevar a cabo los estudios mencionados, mientras que el Grupo de Trabajo 5B contribuye a ellos en lo concerniente a los radares meteorológicos, y el Grupo de Trabajo 7B hace lo propio en relación con el MetSat.</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3C1" w14:textId="77777777" w:rsidTr="00762494">
        <w:trPr>
          <w:trHeight w:val="723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3BB"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1.4 del orden del día de la Conferencia Mundial de Radiocomunicaciones de 2023</w:t>
            </w:r>
          </w:p>
          <w:p w14:paraId="114B23BC"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no se opone a una identificación para las estaciones HIBS siempre que en el Reglamento de Radiocomunicaciones se introduzcan las siguientes disposiciones:</w:t>
            </w:r>
          </w:p>
          <w:p w14:paraId="114B23BD" w14:textId="77777777" w:rsidR="008907B5" w:rsidRPr="006B66E8" w:rsidRDefault="008907B5" w:rsidP="008907B5">
            <w:pPr>
              <w:pStyle w:val="Alinea"/>
              <w:numPr>
                <w:ilvl w:val="0"/>
                <w:numId w:val="0"/>
              </w:numPr>
              <w:spacing w:before="240" w:after="240"/>
              <w:ind w:left="589" w:hanging="567"/>
              <w:jc w:val="left"/>
              <w:rPr>
                <w:rFonts w:ascii="Verdana" w:hAnsi="Verdana"/>
                <w:sz w:val="20"/>
                <w:szCs w:val="20"/>
                <w:lang w:val="es-ES"/>
              </w:rPr>
            </w:pPr>
            <w:r w:rsidRPr="006B66E8">
              <w:rPr>
                <w:rFonts w:ascii="Symbol" w:hAnsi="Symbol"/>
                <w:sz w:val="20"/>
                <w:szCs w:val="20"/>
                <w:lang w:val="es-ES"/>
              </w:rPr>
              <w:t></w:t>
            </w:r>
            <w:r w:rsidRPr="006B66E8">
              <w:rPr>
                <w:rFonts w:ascii="Symbol" w:hAnsi="Symbol"/>
                <w:sz w:val="20"/>
                <w:szCs w:val="20"/>
                <w:lang w:val="es-ES"/>
              </w:rPr>
              <w:tab/>
            </w:r>
            <w:r w:rsidRPr="006B66E8">
              <w:rPr>
                <w:rFonts w:ascii="Verdana" w:hAnsi="Verdana"/>
                <w:sz w:val="20"/>
                <w:szCs w:val="20"/>
                <w:lang w:val="es-ES"/>
              </w:rPr>
              <w:t>A fin de no modificar el entorno de interferencia para los sistemas del MetSat en la banda de frecuencias de 1 675-1 710 MHz, las operaciones de las HIBS en la banda de frecuencias de 1 710-1 785 MHz tendrían que limitarse al sentido del enlace ascendente (HIBS receptoras de equipos de usuario de IMT).</w:t>
            </w:r>
          </w:p>
          <w:p w14:paraId="114B23BE" w14:textId="77777777" w:rsidR="008907B5" w:rsidRPr="006B66E8" w:rsidRDefault="008907B5" w:rsidP="008907B5">
            <w:pPr>
              <w:suppressAutoHyphens/>
              <w:autoSpaceDN w:val="0"/>
              <w:spacing w:before="240" w:after="240"/>
              <w:ind w:left="589" w:hanging="567"/>
              <w:jc w:val="left"/>
              <w:textAlignment w:val="baseline"/>
              <w:rPr>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 xml:space="preserve">A fin de no modificar el entorno de interferencia para el SETS y el </w:t>
            </w:r>
            <w:r w:rsidR="00A0767F" w:rsidRPr="006B66E8">
              <w:rPr>
                <w:lang w:val="es-ES"/>
              </w:rPr>
              <w:t xml:space="preserve">SOE </w:t>
            </w:r>
            <w:r w:rsidRPr="006B66E8">
              <w:rPr>
                <w:lang w:val="es-ES"/>
              </w:rPr>
              <w:t>en la banda de frecuencias de 2 025-2 110 MHz, las operaciones de las HIBS en la banda de frecuencias de 2 110-2 170 MHz tendrían que limitarse al sentido del enlace descendente (HIBS transmisoras a equipos de usuario terrestres).</w:t>
            </w:r>
          </w:p>
          <w:p w14:paraId="114B23BF" w14:textId="77777777" w:rsidR="008907B5" w:rsidRPr="006B66E8" w:rsidRDefault="008907B5" w:rsidP="00762494">
            <w:pPr>
              <w:spacing w:after="240"/>
              <w:ind w:left="589" w:hanging="567"/>
              <w:jc w:val="left"/>
              <w:rPr>
                <w:rFonts w:eastAsia="Times New Roman"/>
                <w:lang w:val="es-ES"/>
              </w:rPr>
            </w:pPr>
            <w:r w:rsidRPr="006B66E8">
              <w:rPr>
                <w:rFonts w:ascii="Symbol" w:eastAsia="Times New Roman" w:hAnsi="Symbol" w:cs="Times New Roman"/>
                <w:lang w:val="es-ES"/>
              </w:rPr>
              <w:t></w:t>
            </w:r>
            <w:r w:rsidRPr="006B66E8">
              <w:rPr>
                <w:rFonts w:ascii="Symbol" w:eastAsia="Times New Roman" w:hAnsi="Symbol" w:cs="Times New Roman"/>
                <w:lang w:val="es-ES"/>
              </w:rPr>
              <w:tab/>
            </w:r>
            <w:r w:rsidRPr="006B66E8">
              <w:rPr>
                <w:lang w:val="es-ES"/>
              </w:rPr>
              <w:t>La aplicación de las disposiciones reglamentarias pertinentes para las operaciones de las HIBS en la banda de frecuencias de 2 500-2 690 MHz, con los límites necesarios en la banda de frecuencias de 2 700-2 900 MHz para proteger las mediciones de los radares meteorológicos. Al establecer esos límites se debería tener en cuenta que, dado el carácter espacial de las mediciones de los radares meteorológicos y la sensibilidad de su señal mínima detectable, es indispensable proteger adecuadamente cada sentido de la exploración (elevación y acimut).</w:t>
            </w:r>
          </w:p>
          <w:p w14:paraId="114B23C0" w14:textId="77777777" w:rsidR="008907B5" w:rsidRPr="006B66E8" w:rsidRDefault="008907B5" w:rsidP="008907B5">
            <w:pPr>
              <w:spacing w:after="120"/>
              <w:ind w:left="590" w:hanging="567"/>
              <w:jc w:val="left"/>
              <w:rPr>
                <w:rFonts w:eastAsia="MS Mincho"/>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Además, el uso de las HIBS en la banda de frecuencias de 2 500-2 690</w:t>
            </w:r>
            <w:r w:rsidR="009A08F2" w:rsidRPr="006B66E8">
              <w:rPr>
                <w:lang w:val="es-ES"/>
              </w:rPr>
              <w:t> </w:t>
            </w:r>
            <w:r w:rsidRPr="006B66E8">
              <w:rPr>
                <w:lang w:val="es-ES"/>
              </w:rPr>
              <w:t>MHz no conllevará limitaciones adicionales a la expansión de los radares meteorológicos en la banda de frecuencias de 2 700-2 900 MHz. Así se evitará la situación de los actuales sistemas de IMT terrestres, que imponen limitaciones a los radares meteorológicos.</w:t>
            </w:r>
          </w:p>
        </w:tc>
      </w:tr>
    </w:tbl>
    <w:p w14:paraId="114B23C2" w14:textId="77777777" w:rsidR="00EA1D65" w:rsidRPr="006B66E8" w:rsidRDefault="00EA1D65" w:rsidP="008907B5">
      <w:pPr>
        <w:pStyle w:val="Heading3"/>
        <w:spacing w:before="240" w:after="240"/>
        <w:rPr>
          <w:lang w:val="es-ES"/>
        </w:rPr>
      </w:pPr>
      <w:r w:rsidRPr="006B66E8">
        <w:rPr>
          <w:lang w:val="es-ES"/>
        </w:rPr>
        <w:br w:type="page"/>
      </w:r>
    </w:p>
    <w:p w14:paraId="114B23C3" w14:textId="77777777" w:rsidR="008907B5" w:rsidRPr="006B66E8" w:rsidRDefault="008907B5" w:rsidP="002D3080">
      <w:pPr>
        <w:pStyle w:val="Heading3"/>
        <w:spacing w:before="240" w:after="240"/>
        <w:rPr>
          <w:lang w:val="es-ES"/>
        </w:rPr>
      </w:pPr>
      <w:r w:rsidRPr="006B66E8">
        <w:rPr>
          <w:lang w:val="es-ES"/>
        </w:rPr>
        <w:lastRenderedPageBreak/>
        <w:t>3.4</w:t>
      </w:r>
      <w:r w:rsidRPr="006B66E8">
        <w:rPr>
          <w:lang w:val="es-ES"/>
        </w:rPr>
        <w:tab/>
        <w:t>Punto 1.5 del orden del día</w:t>
      </w:r>
    </w:p>
    <w:p w14:paraId="114B23C4" w14:textId="77777777" w:rsidR="008907B5" w:rsidRPr="006B66E8" w:rsidRDefault="008907B5" w:rsidP="008907B5">
      <w:pPr>
        <w:spacing w:before="240" w:after="240"/>
        <w:jc w:val="left"/>
        <w:rPr>
          <w:i/>
          <w:iCs/>
          <w:lang w:val="es-ES"/>
        </w:rPr>
      </w:pPr>
      <w:r w:rsidRPr="006B66E8">
        <w:rPr>
          <w:i/>
          <w:iCs/>
          <w:lang w:val="es-ES"/>
        </w:rPr>
        <w:t>“examinar la utilización del espectro y las necesidades de espectro de los servicios existentes en la banda de frecuencias 470-960 MHz en la Región 1 y considerar posibles medidas reglamentarias para la banda de frecuencias 470-694 MHz en la Región 1 a partir del examen previsto en la Resolución 235</w:t>
      </w:r>
      <w:r w:rsidR="004729F6" w:rsidRPr="006B66E8">
        <w:rPr>
          <w:i/>
          <w:iCs/>
          <w:lang w:val="es-ES"/>
        </w:rPr>
        <w:t xml:space="preserve"> </w:t>
      </w:r>
      <w:r w:rsidRPr="006B66E8">
        <w:rPr>
          <w:i/>
          <w:iCs/>
          <w:lang w:val="es-ES"/>
        </w:rPr>
        <w:t>(CMR-15)”</w:t>
      </w:r>
      <w:r w:rsidR="0091650C" w:rsidRPr="006B66E8">
        <w:rPr>
          <w:i/>
          <w:iCs/>
          <w:lang w:val="es-ES"/>
        </w:rPr>
        <w:t>.</w:t>
      </w:r>
    </w:p>
    <w:p w14:paraId="114B23C5"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En algunos países, la banda de frecuencias de 470-494 MHz está atribuida al servicio de radiolocalización a título secundario, y se asigna un uso limitado al funcionamiento de los radares perfiladores de viento, de conformidad con la </w:t>
      </w:r>
      <w:r w:rsidRPr="006B66E8">
        <w:rPr>
          <w:rFonts w:ascii="Verdana" w:hAnsi="Verdana"/>
          <w:b/>
          <w:bCs/>
          <w:sz w:val="20"/>
          <w:szCs w:val="20"/>
          <w:lang w:val="es-ES"/>
        </w:rPr>
        <w:t xml:space="preserve">nota 5.291A </w:t>
      </w:r>
      <w:r w:rsidRPr="006B66E8">
        <w:rPr>
          <w:rFonts w:ascii="Verdana" w:hAnsi="Verdana"/>
          <w:sz w:val="20"/>
          <w:szCs w:val="20"/>
          <w:lang w:val="es-ES"/>
        </w:rPr>
        <w:t>del Reglamento de Radiocomunicaciones.</w:t>
      </w:r>
    </w:p>
    <w:p w14:paraId="114B23C6" w14:textId="77777777" w:rsidR="008907B5" w:rsidRPr="006B66E8" w:rsidRDefault="008907B5" w:rsidP="008907B5">
      <w:pPr>
        <w:pStyle w:val="WMOBodyText"/>
        <w:spacing w:after="240"/>
        <w:rPr>
          <w:rFonts w:cs="Times New Roman"/>
          <w:lang w:val="es-ES"/>
        </w:rPr>
      </w:pPr>
      <w:r w:rsidRPr="006B66E8">
        <w:rPr>
          <w:lang w:val="es-ES"/>
        </w:rPr>
        <w:t>Debe tenerse en cuenta que los radares perfiladores de viento están desplegados y operativos en esa banda de frecuencias.</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3C9" w14:textId="77777777" w:rsidTr="008907B5">
        <w:trPr>
          <w:trHeight w:val="146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3C7"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1.5 del orden del día de la Conferencia Mundial de Radiocomunicaciones de 2023</w:t>
            </w:r>
          </w:p>
          <w:p w14:paraId="114B23C8" w14:textId="77777777" w:rsidR="008907B5" w:rsidRPr="006B66E8" w:rsidRDefault="008907B5">
            <w:pPr>
              <w:spacing w:before="240" w:after="240"/>
              <w:jc w:val="left"/>
              <w:rPr>
                <w:lang w:val="es-ES"/>
              </w:rPr>
            </w:pPr>
            <w:r w:rsidRPr="006B66E8">
              <w:rPr>
                <w:lang w:val="es-ES"/>
              </w:rPr>
              <w:t>La OMM agradecería que se encontrara una solución para garantizar el funcionamiento eficaz de los radares perfiladores de viento en la banda de frecuencias de 470-494 MHz.</w:t>
            </w:r>
          </w:p>
        </w:tc>
      </w:tr>
    </w:tbl>
    <w:p w14:paraId="114B23CA" w14:textId="77777777" w:rsidR="008907B5" w:rsidRPr="006B66E8" w:rsidRDefault="008907B5" w:rsidP="002D3080">
      <w:pPr>
        <w:pStyle w:val="Heading3"/>
        <w:spacing w:before="240" w:after="240"/>
        <w:rPr>
          <w:lang w:val="es-ES"/>
        </w:rPr>
      </w:pPr>
      <w:r w:rsidRPr="006B66E8">
        <w:rPr>
          <w:lang w:val="es-ES"/>
        </w:rPr>
        <w:t>3.5</w:t>
      </w:r>
      <w:r w:rsidRPr="006B66E8">
        <w:rPr>
          <w:lang w:val="es-ES"/>
        </w:rPr>
        <w:tab/>
        <w:t>Punto 1.6 del orden del día</w:t>
      </w:r>
    </w:p>
    <w:p w14:paraId="114B23CB" w14:textId="77777777" w:rsidR="008907B5" w:rsidRPr="006B66E8" w:rsidRDefault="008907B5" w:rsidP="008907B5">
      <w:pPr>
        <w:spacing w:before="240" w:after="240"/>
        <w:jc w:val="left"/>
        <w:rPr>
          <w:lang w:val="es-ES"/>
        </w:rPr>
      </w:pPr>
      <w:r w:rsidRPr="006B66E8">
        <w:rPr>
          <w:i/>
          <w:iCs/>
          <w:lang w:val="es-ES"/>
        </w:rPr>
        <w:t xml:space="preserve">“considerar, de conformidad con la Resolución </w:t>
      </w:r>
      <w:r w:rsidRPr="006B66E8">
        <w:rPr>
          <w:b/>
          <w:bCs/>
          <w:i/>
          <w:iCs/>
          <w:lang w:val="es-ES"/>
        </w:rPr>
        <w:t>772 (CMR-19)</w:t>
      </w:r>
      <w:r w:rsidRPr="006B66E8">
        <w:rPr>
          <w:i/>
          <w:iCs/>
          <w:lang w:val="es-ES"/>
        </w:rPr>
        <w:t>, disposiciones reglamentarias destinadas a facilitar las radiocomunicaciones para vehículos suborbitales”.</w:t>
      </w:r>
    </w:p>
    <w:p w14:paraId="114B23CC" w14:textId="77777777" w:rsidR="008907B5" w:rsidRPr="006B66E8" w:rsidRDefault="008907B5" w:rsidP="0091650C">
      <w:pPr>
        <w:pStyle w:val="ListParagraph"/>
        <w:spacing w:before="240" w:after="240"/>
        <w:jc w:val="left"/>
        <w:rPr>
          <w:rFonts w:ascii="Verdana" w:hAnsi="Verdana"/>
          <w:sz w:val="20"/>
          <w:szCs w:val="20"/>
          <w:lang w:val="es-ES"/>
        </w:rPr>
      </w:pPr>
      <w:r w:rsidRPr="006B66E8">
        <w:rPr>
          <w:rFonts w:ascii="Verdana" w:hAnsi="Verdana"/>
          <w:sz w:val="20"/>
          <w:szCs w:val="20"/>
          <w:lang w:val="es-ES"/>
        </w:rPr>
        <w:t>En el marco de este punto del orden del día se abordan las disposiciones reglamentarias destinadas a facilitar el funcionamiento de los vehículos suborbitales que operan tanto en el ámbito aeronáutico como en el espacial, y los requisitos en materia de comunicaciones abarcan tanto las operaciones aeronáuticas como las satelitales. Aunque en virtud de este punto del orden del día no se puede enmendar el</w:t>
      </w:r>
      <w:r w:rsidR="00811921" w:rsidRPr="006B66E8">
        <w:rPr>
          <w:rFonts w:ascii="Verdana" w:hAnsi="Verdana"/>
          <w:sz w:val="20"/>
          <w:szCs w:val="20"/>
          <w:lang w:val="es-ES"/>
        </w:rPr>
        <w:t xml:space="preserve"> </w:t>
      </w:r>
      <w:r w:rsidRPr="006B66E8">
        <w:rPr>
          <w:rFonts w:ascii="Verdana" w:hAnsi="Verdana"/>
          <w:sz w:val="20"/>
          <w:szCs w:val="20"/>
          <w:lang w:val="es-ES"/>
        </w:rPr>
        <w:t>artículo 5 del Reglamento de Radiocomunicaciones (no pueden modificarse las atribuciones de frecuencias), otros cambios reglamentarios permitidos en el marco de este punto podrían afectar a las disposiciones reglamentarias aplicables al MetSat y al SETS y podrían agudizar la congestión en las bandas de frecuencias correspondientes.</w:t>
      </w:r>
    </w:p>
    <w:p w14:paraId="114B23CD"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Cabe señalar, asimismo, que en el futuro la tecnología de vehículos suborbitales podría respaldar misiones de interés para la OMM.</w:t>
      </w:r>
    </w:p>
    <w:p w14:paraId="114B23CE"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El Grupo de Trabajo 5B es el encargado de los estudios, mientras que el Grupo de Trabajo 7B contribuye a ellos en lo concerniente al MetSat y al SETS.</w:t>
      </w:r>
    </w:p>
    <w:tbl>
      <w:tblPr>
        <w:tblW w:w="5000" w:type="pct"/>
        <w:tblCellMar>
          <w:left w:w="10" w:type="dxa"/>
          <w:right w:w="10" w:type="dxa"/>
        </w:tblCellMar>
        <w:tblLook w:val="04A0" w:firstRow="1" w:lastRow="0" w:firstColumn="1" w:lastColumn="0" w:noHBand="0" w:noVBand="1"/>
      </w:tblPr>
      <w:tblGrid>
        <w:gridCol w:w="9855"/>
      </w:tblGrid>
      <w:tr w:rsidR="0091650C" w:rsidRPr="00DB14AD" w14:paraId="114B23D1" w14:textId="77777777" w:rsidTr="00681435">
        <w:trPr>
          <w:trHeight w:val="1513"/>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3CF" w14:textId="77777777" w:rsidR="0091650C" w:rsidRPr="006B66E8" w:rsidRDefault="0091650C" w:rsidP="0068143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1.6 del orden del día de la Conferencia Mundial de Radiocomunicaciones de 2023</w:t>
            </w:r>
          </w:p>
          <w:p w14:paraId="114B23D0" w14:textId="77777777" w:rsidR="0091650C" w:rsidRPr="006B66E8" w:rsidRDefault="0091650C" w:rsidP="00681435">
            <w:pPr>
              <w:spacing w:before="240" w:after="240"/>
              <w:jc w:val="left"/>
              <w:rPr>
                <w:lang w:val="es-ES"/>
              </w:rPr>
            </w:pPr>
            <w:r w:rsidRPr="006B66E8">
              <w:rPr>
                <w:lang w:val="es-ES"/>
              </w:rPr>
              <w:t>La OMM apoya la elaboración de disposiciones reglamentarias que faciliten l</w:t>
            </w:r>
            <w:r w:rsidR="00BC7628" w:rsidRPr="006B66E8">
              <w:rPr>
                <w:lang w:val="es-ES"/>
              </w:rPr>
              <w:t>as</w:t>
            </w:r>
            <w:r w:rsidRPr="006B66E8">
              <w:rPr>
                <w:lang w:val="es-ES"/>
              </w:rPr>
              <w:t xml:space="preserve"> </w:t>
            </w:r>
            <w:r w:rsidR="00BC7628" w:rsidRPr="006B66E8">
              <w:rPr>
                <w:lang w:val="es-ES"/>
              </w:rPr>
              <w:t xml:space="preserve">operaciones </w:t>
            </w:r>
            <w:r w:rsidRPr="006B66E8">
              <w:rPr>
                <w:lang w:val="es-ES"/>
              </w:rPr>
              <w:t>de los vehículos suborbitales, pero se opondría a las disposiciones que incid</w:t>
            </w:r>
            <w:r w:rsidR="00DF6A80" w:rsidRPr="006B66E8">
              <w:rPr>
                <w:lang w:val="es-ES"/>
              </w:rPr>
              <w:t>ier</w:t>
            </w:r>
            <w:r w:rsidRPr="006B66E8">
              <w:rPr>
                <w:lang w:val="es-ES"/>
              </w:rPr>
              <w:t xml:space="preserve">an negativamente en </w:t>
            </w:r>
            <w:r w:rsidR="00BC7628" w:rsidRPr="006B66E8">
              <w:rPr>
                <w:lang w:val="es-ES"/>
              </w:rPr>
              <w:t>e</w:t>
            </w:r>
            <w:r w:rsidRPr="006B66E8">
              <w:rPr>
                <w:lang w:val="es-ES"/>
              </w:rPr>
              <w:t>l</w:t>
            </w:r>
            <w:r w:rsidR="00BC7628" w:rsidRPr="006B66E8">
              <w:rPr>
                <w:lang w:val="es-ES"/>
              </w:rPr>
              <w:t xml:space="preserve"> funcionamiento </w:t>
            </w:r>
            <w:r w:rsidRPr="006B66E8">
              <w:rPr>
                <w:lang w:val="es-ES"/>
              </w:rPr>
              <w:t>actual y futur</w:t>
            </w:r>
            <w:r w:rsidR="00BC7628" w:rsidRPr="006B66E8">
              <w:rPr>
                <w:lang w:val="es-ES"/>
              </w:rPr>
              <w:t>o</w:t>
            </w:r>
            <w:r w:rsidRPr="006B66E8">
              <w:rPr>
                <w:lang w:val="es-ES"/>
              </w:rPr>
              <w:t xml:space="preserve"> del MetSat y el SETS. En particular, el Método B, Enfoque A, señalado en el proyecto de texto de la Reunión Preparatoria de la Conferencia elaborado por el Grupo de Trabajo 5B se ajusta a los objetivos de la OMM.</w:t>
            </w:r>
          </w:p>
        </w:tc>
      </w:tr>
    </w:tbl>
    <w:p w14:paraId="114B23D2" w14:textId="77777777" w:rsidR="0091650C" w:rsidRPr="006B66E8" w:rsidRDefault="0091650C" w:rsidP="008907B5">
      <w:pPr>
        <w:pStyle w:val="ListParagraph"/>
        <w:spacing w:before="240" w:after="240"/>
        <w:jc w:val="left"/>
        <w:rPr>
          <w:rFonts w:ascii="Verdana" w:hAnsi="Verdana"/>
          <w:sz w:val="20"/>
          <w:szCs w:val="20"/>
          <w:lang w:val="es-ES"/>
        </w:rPr>
      </w:pPr>
    </w:p>
    <w:p w14:paraId="114B23D3" w14:textId="77777777" w:rsidR="008907B5" w:rsidRPr="006B66E8" w:rsidRDefault="008907B5" w:rsidP="002D3080">
      <w:pPr>
        <w:pStyle w:val="Heading3"/>
        <w:spacing w:before="240" w:after="240"/>
        <w:rPr>
          <w:lang w:val="es-ES"/>
        </w:rPr>
      </w:pPr>
      <w:r w:rsidRPr="006B66E8">
        <w:rPr>
          <w:lang w:val="es-ES"/>
        </w:rPr>
        <w:lastRenderedPageBreak/>
        <w:t>3.6</w:t>
      </w:r>
      <w:r w:rsidRPr="006B66E8">
        <w:rPr>
          <w:lang w:val="es-ES"/>
        </w:rPr>
        <w:tab/>
        <w:t>Punto 1.10 del orden del día</w:t>
      </w:r>
    </w:p>
    <w:p w14:paraId="114B23D4" w14:textId="77777777" w:rsidR="008907B5" w:rsidRPr="006B66E8" w:rsidRDefault="008907B5" w:rsidP="008907B5">
      <w:pPr>
        <w:spacing w:before="240" w:after="240"/>
        <w:jc w:val="left"/>
        <w:rPr>
          <w:lang w:val="es-ES"/>
        </w:rPr>
      </w:pPr>
      <w:r w:rsidRPr="006B66E8">
        <w:rPr>
          <w:i/>
          <w:iCs/>
          <w:lang w:val="es-ES"/>
        </w:rPr>
        <w:t xml:space="preserve">“realizar estudios sobre las necesidades de espectro, la coexistencia con los servicios de radiocomunicaciones y las medidas reglamentarias para posibles nuevas atribuciones al servicio móvil aeronáutico para la utilización de aplicaciones móviles aeronáuticas no relacionadas con la seguridad, de conformidad con la Resolución </w:t>
      </w:r>
      <w:r w:rsidRPr="006B66E8">
        <w:rPr>
          <w:b/>
          <w:bCs/>
          <w:i/>
          <w:iCs/>
          <w:lang w:val="es-ES"/>
        </w:rPr>
        <w:t>430 (CMR-19)</w:t>
      </w:r>
      <w:r w:rsidRPr="006B66E8">
        <w:rPr>
          <w:i/>
          <w:iCs/>
          <w:lang w:val="es-ES"/>
        </w:rPr>
        <w:t>”.</w:t>
      </w:r>
    </w:p>
    <w:p w14:paraId="114B23D5"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En el marco de este punto del orden del día se examinan los cambios en las atribuciones para permitir las operaciones móviles aeronáuticas no relacionadas con la seguridad para las comunicaciones aire-aire, aire-tierra y tierra-aire. Se está examinando la posibilidad de </w:t>
      </w:r>
      <w:r w:rsidR="005D64DC" w:rsidRPr="006B66E8">
        <w:rPr>
          <w:rFonts w:ascii="Verdana" w:hAnsi="Verdana"/>
          <w:sz w:val="20"/>
          <w:szCs w:val="20"/>
          <w:lang w:val="es-ES"/>
        </w:rPr>
        <w:br/>
      </w:r>
      <w:r w:rsidRPr="006B66E8">
        <w:rPr>
          <w:rFonts w:ascii="Verdana" w:hAnsi="Verdana"/>
          <w:sz w:val="20"/>
          <w:szCs w:val="20"/>
          <w:lang w:val="es-ES"/>
        </w:rPr>
        <w:t xml:space="preserve">realizar una nueva atribución de la banda de frecuencias de 15,4-15,7 GHz al servicio móvil aeronáutico, mientras que se está estudiando la eliminación de la restricción "salvo móvil aeronáutico" para la banda de frecuencias de 22-22,21 GHz. </w:t>
      </w:r>
    </w:p>
    <w:p w14:paraId="114B23D6"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La banda de frecuencias de 22-22,21 GHz objeto de estudio es adyacente a la banda de frecuencias de 22,21-22,5 GHz atribuida al SETS (pasivo).</w:t>
      </w:r>
    </w:p>
    <w:p w14:paraId="114B23D7"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También cabe señalar que la banda de frecuencias de 15,4-15,7 GHz es adyacente a la banda de frecuencias de 15,35-15,4 GHz (</w:t>
      </w:r>
      <w:r w:rsidRPr="006B66E8">
        <w:rPr>
          <w:rFonts w:ascii="Verdana" w:hAnsi="Verdana"/>
          <w:b/>
          <w:bCs/>
          <w:sz w:val="20"/>
          <w:szCs w:val="20"/>
          <w:lang w:val="es-ES"/>
        </w:rPr>
        <w:t xml:space="preserve">nota 5.340 </w:t>
      </w:r>
      <w:r w:rsidRPr="006B66E8">
        <w:rPr>
          <w:rFonts w:ascii="Verdana" w:hAnsi="Verdana"/>
          <w:sz w:val="20"/>
          <w:szCs w:val="20"/>
          <w:lang w:val="es-ES"/>
        </w:rPr>
        <w:t>del Reglamento de Radiocomunicaciones); sin embargo, no se ha documentado el uso de esa banda de frecuencias por parte del SETS (pasivo).</w:t>
      </w:r>
    </w:p>
    <w:p w14:paraId="114B23D8"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Debe llevarse a cabo un estudio sobre las bandas adyacentes para velar por la protección del SETS (pasivo) en la banda de frecuencias de 22,21-22,5 GHz. </w:t>
      </w:r>
    </w:p>
    <w:p w14:paraId="114B23D9"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El Grupo de Trabajo 5B es el encargado de los estudios, mientras que el Grupo de Trabajo 7C contribuye a ellos en lo concerniente al SETS (pasivo).</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3DC" w14:textId="77777777" w:rsidTr="008907B5">
        <w:trPr>
          <w:trHeight w:val="1846"/>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3DA"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1.10 del orden del día de la Conferencia Mundial de Radiocomunicaciones de 2023</w:t>
            </w:r>
          </w:p>
          <w:p w14:paraId="114B23DB" w14:textId="77777777" w:rsidR="008907B5" w:rsidRPr="006B66E8" w:rsidRDefault="008907B5">
            <w:pPr>
              <w:spacing w:before="240" w:after="240"/>
              <w:jc w:val="left"/>
              <w:rPr>
                <w:lang w:val="es-ES"/>
              </w:rPr>
            </w:pPr>
            <w:r w:rsidRPr="006B66E8">
              <w:rPr>
                <w:lang w:val="es-ES"/>
              </w:rPr>
              <w:t xml:space="preserve">La OMM no se opone a nuevas atribuciones al servicio móvil aeronáutico para la utilización de aplicaciones móviles aeronáuticas no relacionadas con la seguridad, siempre que se aplique un límite adecuado </w:t>
            </w:r>
            <w:r w:rsidR="00F728D7" w:rsidRPr="006B66E8">
              <w:rPr>
                <w:lang w:val="es-ES"/>
              </w:rPr>
              <w:t xml:space="preserve">a las </w:t>
            </w:r>
            <w:r w:rsidRPr="006B66E8">
              <w:rPr>
                <w:lang w:val="es-ES"/>
              </w:rPr>
              <w:t xml:space="preserve">emisiones no deseadas (−23 dBW por 100 MHz) en la banda de frecuencias de 22,21-22,5 GHz para proteger al SETS (pasivo) frente al servicio móvil aeronáutico por satélite (fuera de ruta) (SMA(OR)). </w:t>
            </w:r>
          </w:p>
        </w:tc>
      </w:tr>
    </w:tbl>
    <w:p w14:paraId="114B23DD" w14:textId="77777777" w:rsidR="008907B5" w:rsidRPr="006B66E8" w:rsidRDefault="008907B5" w:rsidP="008907B5">
      <w:pPr>
        <w:pStyle w:val="Heading3"/>
        <w:spacing w:before="240" w:after="240"/>
        <w:rPr>
          <w:lang w:val="es-ES"/>
        </w:rPr>
      </w:pPr>
      <w:r w:rsidRPr="006B66E8">
        <w:rPr>
          <w:lang w:val="es-ES"/>
        </w:rPr>
        <w:t>3.7</w:t>
      </w:r>
      <w:r w:rsidRPr="006B66E8">
        <w:rPr>
          <w:lang w:val="es-ES"/>
        </w:rPr>
        <w:tab/>
        <w:t>Punto 1.12 del orden del día</w:t>
      </w:r>
    </w:p>
    <w:p w14:paraId="114B23DE" w14:textId="77777777" w:rsidR="008907B5" w:rsidRPr="006B66E8" w:rsidRDefault="008907B5" w:rsidP="008907B5">
      <w:pPr>
        <w:spacing w:before="240" w:after="240"/>
        <w:jc w:val="left"/>
        <w:rPr>
          <w:lang w:val="es-ES"/>
        </w:rPr>
      </w:pPr>
      <w:r w:rsidRPr="006B66E8">
        <w:rPr>
          <w:i/>
          <w:iCs/>
          <w:lang w:val="es-ES"/>
        </w:rPr>
        <w:t xml:space="preserve">“realizar y completar, a tiempo para la CMR-23, estudios sobre una posible nueva atribución secundaria al servicio de exploración de la Tierra por satélite (activo) para sondas de radar aerotransportadas en la gama de frecuencias alrededor de 45 MHz, teniendo en cuenta la protección de los servicios existentes, incluidas las bandas de frecuencias adyacentes, de conformidad con la Resolución </w:t>
      </w:r>
      <w:r w:rsidRPr="006B66E8">
        <w:rPr>
          <w:b/>
          <w:bCs/>
          <w:i/>
          <w:iCs/>
          <w:lang w:val="es-ES"/>
        </w:rPr>
        <w:t>656 (Rev.CMR-19)</w:t>
      </w:r>
      <w:r w:rsidRPr="006B66E8">
        <w:rPr>
          <w:i/>
          <w:iCs/>
          <w:lang w:val="es-ES"/>
        </w:rPr>
        <w:t>”.</w:t>
      </w:r>
    </w:p>
    <w:p w14:paraId="114B23DF"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Inicialmente, la Conferencia Mundial de Radiocomunicaciones de 2015 elaboró este punto y lo inscribió en el orden del día preliminar de la Conferencia Mundial de Radiocomunicaciones de 2023. La Conferencia Mundial de Radiocomunicaciones de 2019 examinó la situación de las labores y mantuvo el punto en el orden del día definitivo de la Conferencia Mundial de Radiocomunicaciones de 2023 con miras a considerar una atribución secundaria al SETS (activo) alrededor de 45 MHz.</w:t>
      </w:r>
    </w:p>
    <w:p w14:paraId="114B23E0"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Este punto del orden del día es de interés para la OMM. Por un lado, para velar por la protección de los radares oceanográficos que operan en la banda de frecuencias de 41,015-42</w:t>
      </w:r>
      <w:r w:rsidR="003A18EC" w:rsidRPr="006B66E8">
        <w:rPr>
          <w:rFonts w:ascii="Verdana" w:hAnsi="Verdana"/>
          <w:sz w:val="20"/>
          <w:szCs w:val="20"/>
          <w:lang w:val="es-ES"/>
        </w:rPr>
        <w:t> </w:t>
      </w:r>
      <w:r w:rsidRPr="006B66E8">
        <w:rPr>
          <w:rFonts w:ascii="Verdana" w:hAnsi="Verdana"/>
          <w:sz w:val="20"/>
          <w:szCs w:val="20"/>
          <w:lang w:val="es-ES"/>
        </w:rPr>
        <w:t xml:space="preserve">MHz </w:t>
      </w:r>
      <w:r w:rsidR="003A18EC" w:rsidRPr="006B66E8">
        <w:rPr>
          <w:rFonts w:ascii="Verdana" w:hAnsi="Verdana"/>
          <w:sz w:val="20"/>
          <w:szCs w:val="20"/>
          <w:lang w:val="es-ES"/>
        </w:rPr>
        <w:br/>
      </w:r>
      <w:r w:rsidRPr="006B66E8">
        <w:rPr>
          <w:rFonts w:ascii="Verdana" w:hAnsi="Verdana"/>
          <w:sz w:val="20"/>
          <w:szCs w:val="20"/>
          <w:lang w:val="es-ES"/>
        </w:rPr>
        <w:t>y de 42,5-44 MHz</w:t>
      </w:r>
      <w:r w:rsidR="003A18EC" w:rsidRPr="006B66E8">
        <w:rPr>
          <w:rFonts w:ascii="Verdana" w:hAnsi="Verdana"/>
          <w:sz w:val="20"/>
          <w:szCs w:val="20"/>
          <w:lang w:val="es-ES"/>
        </w:rPr>
        <w:t>,</w:t>
      </w:r>
      <w:r w:rsidRPr="006B66E8">
        <w:rPr>
          <w:rFonts w:ascii="Verdana" w:hAnsi="Verdana"/>
          <w:sz w:val="20"/>
          <w:szCs w:val="20"/>
          <w:lang w:val="es-ES"/>
        </w:rPr>
        <w:t xml:space="preserve"> con arreglo a lo dispuesto en la </w:t>
      </w:r>
      <w:r w:rsidRPr="006B66E8">
        <w:rPr>
          <w:rFonts w:ascii="Verdana" w:hAnsi="Verdana"/>
          <w:b/>
          <w:bCs/>
          <w:sz w:val="20"/>
          <w:szCs w:val="20"/>
          <w:lang w:val="es-ES"/>
        </w:rPr>
        <w:t xml:space="preserve">nota 5.161A </w:t>
      </w:r>
      <w:r w:rsidRPr="006B66E8">
        <w:rPr>
          <w:rFonts w:ascii="Verdana" w:hAnsi="Verdana"/>
          <w:sz w:val="20"/>
          <w:szCs w:val="20"/>
          <w:lang w:val="es-ES"/>
        </w:rPr>
        <w:t xml:space="preserve">del Reglamento de </w:t>
      </w:r>
      <w:r w:rsidRPr="006B66E8">
        <w:rPr>
          <w:rFonts w:ascii="Verdana" w:hAnsi="Verdana"/>
          <w:sz w:val="20"/>
          <w:szCs w:val="20"/>
          <w:lang w:val="es-ES"/>
        </w:rPr>
        <w:lastRenderedPageBreak/>
        <w:t>Radiocomunicaciones</w:t>
      </w:r>
      <w:r w:rsidR="003A18EC" w:rsidRPr="006B66E8">
        <w:rPr>
          <w:rFonts w:ascii="Verdana" w:hAnsi="Verdana"/>
          <w:sz w:val="20"/>
          <w:szCs w:val="20"/>
          <w:lang w:val="es-ES"/>
        </w:rPr>
        <w:t>,</w:t>
      </w:r>
      <w:r w:rsidRPr="006B66E8">
        <w:rPr>
          <w:rFonts w:ascii="Verdana" w:hAnsi="Verdana"/>
          <w:sz w:val="20"/>
          <w:szCs w:val="20"/>
          <w:lang w:val="es-ES"/>
        </w:rPr>
        <w:t xml:space="preserve"> y los radares perfiladores de viento que operan en la banda de frecuencias de 46-48 MHz</w:t>
      </w:r>
      <w:r w:rsidR="003A18EC" w:rsidRPr="006B66E8">
        <w:rPr>
          <w:rFonts w:ascii="Verdana" w:hAnsi="Verdana"/>
          <w:sz w:val="20"/>
          <w:szCs w:val="20"/>
          <w:lang w:val="es-ES"/>
        </w:rPr>
        <w:t>,</w:t>
      </w:r>
      <w:r w:rsidRPr="006B66E8">
        <w:rPr>
          <w:rFonts w:ascii="Verdana" w:hAnsi="Verdana"/>
          <w:sz w:val="20"/>
          <w:szCs w:val="20"/>
          <w:lang w:val="es-ES"/>
        </w:rPr>
        <w:t xml:space="preserve"> con arreglo a lo dispuesto en la </w:t>
      </w:r>
      <w:r w:rsidRPr="006B66E8">
        <w:rPr>
          <w:rFonts w:ascii="Verdana" w:hAnsi="Verdana"/>
          <w:b/>
          <w:bCs/>
          <w:sz w:val="20"/>
          <w:szCs w:val="20"/>
          <w:lang w:val="es-ES"/>
        </w:rPr>
        <w:t xml:space="preserve">nota 5.162A </w:t>
      </w:r>
      <w:r w:rsidRPr="006B66E8">
        <w:rPr>
          <w:rFonts w:ascii="Verdana" w:hAnsi="Verdana"/>
          <w:sz w:val="20"/>
          <w:szCs w:val="20"/>
          <w:lang w:val="es-ES"/>
        </w:rPr>
        <w:t>del Reglamento de Radiocomunicaciones; por otro, para considerar la futura utilización de esa atribución al SETS (activo) para fines meteorológicos o climatológicos.</w:t>
      </w:r>
    </w:p>
    <w:p w14:paraId="114B23E1"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El Grupo de Trabajo 7C es el encargado de los estudios, mientras que el Grupo de Trabajo 5B contribuye a ellos en lo concerniente a los radares oceanográficos y los radares perfiladores de viento.</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3E4" w14:textId="77777777" w:rsidTr="008907B5">
        <w:trPr>
          <w:trHeight w:val="1243"/>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3E2"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1.12 del orden del día de la Conferencia Mundial de Radiocomunicaciones de 2023</w:t>
            </w:r>
          </w:p>
          <w:p w14:paraId="114B23E3"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 xml:space="preserve">La OMM apoya una nueva atribución a título secundario al SETS (activo) en la banda de frecuencias de 40-50 MHz, en cuyo marco se brinde una protección adecuada a los radares perfiladores de viento, de conformidad con lo dispuesto en la nota 5.162A. </w:t>
            </w:r>
          </w:p>
        </w:tc>
      </w:tr>
    </w:tbl>
    <w:p w14:paraId="114B23E5" w14:textId="77777777" w:rsidR="008907B5" w:rsidRPr="006B66E8" w:rsidRDefault="008907B5" w:rsidP="008907B5">
      <w:pPr>
        <w:pStyle w:val="Heading3"/>
        <w:spacing w:before="240" w:after="240"/>
        <w:rPr>
          <w:lang w:val="es-ES"/>
        </w:rPr>
      </w:pPr>
      <w:r w:rsidRPr="006B66E8">
        <w:rPr>
          <w:lang w:val="es-ES"/>
        </w:rPr>
        <w:t>3.8</w:t>
      </w:r>
      <w:r w:rsidRPr="006B66E8">
        <w:rPr>
          <w:lang w:val="es-ES"/>
        </w:rPr>
        <w:tab/>
        <w:t>Punto 1.13 del orden del día</w:t>
      </w:r>
    </w:p>
    <w:p w14:paraId="114B23E6" w14:textId="77777777" w:rsidR="008907B5" w:rsidRPr="006B66E8" w:rsidRDefault="008907B5" w:rsidP="008907B5">
      <w:pPr>
        <w:spacing w:before="240" w:after="240"/>
        <w:jc w:val="left"/>
        <w:rPr>
          <w:lang w:val="es-ES"/>
        </w:rPr>
      </w:pPr>
      <w:r w:rsidRPr="006B66E8">
        <w:rPr>
          <w:i/>
          <w:iCs/>
          <w:lang w:val="es-ES"/>
        </w:rPr>
        <w:t>“considerar la posible elevación de la categoría de la atribución al servicio de investigación espacial en la banda de frecuencias 14,8-15,35 GHz, de conformidad con la Resolución</w:t>
      </w:r>
      <w:r w:rsidR="00776A3E" w:rsidRPr="006B66E8">
        <w:rPr>
          <w:i/>
          <w:iCs/>
          <w:lang w:val="es-ES"/>
        </w:rPr>
        <w:t> </w:t>
      </w:r>
      <w:r w:rsidRPr="006B66E8">
        <w:rPr>
          <w:b/>
          <w:bCs/>
          <w:i/>
          <w:iCs/>
          <w:lang w:val="es-ES"/>
        </w:rPr>
        <w:t>661</w:t>
      </w:r>
      <w:r w:rsidR="00F8638C" w:rsidRPr="006B66E8">
        <w:rPr>
          <w:b/>
          <w:bCs/>
          <w:i/>
          <w:iCs/>
          <w:lang w:val="es-ES"/>
        </w:rPr>
        <w:t> </w:t>
      </w:r>
      <w:r w:rsidRPr="006B66E8">
        <w:rPr>
          <w:b/>
          <w:bCs/>
          <w:i/>
          <w:iCs/>
          <w:lang w:val="es-ES"/>
        </w:rPr>
        <w:t>(CMR-19)</w:t>
      </w:r>
      <w:r w:rsidRPr="006B66E8">
        <w:rPr>
          <w:i/>
          <w:iCs/>
          <w:lang w:val="es-ES"/>
        </w:rPr>
        <w:t>”.</w:t>
      </w:r>
    </w:p>
    <w:p w14:paraId="114B23E7" w14:textId="77777777" w:rsidR="008907B5" w:rsidRPr="006B66E8" w:rsidRDefault="008907B5" w:rsidP="008907B5">
      <w:pPr>
        <w:pStyle w:val="ListParagraph"/>
        <w:spacing w:before="240" w:after="240"/>
        <w:ind w:right="-113"/>
        <w:jc w:val="left"/>
        <w:rPr>
          <w:rFonts w:ascii="Verdana" w:hAnsi="Verdana"/>
          <w:sz w:val="20"/>
          <w:szCs w:val="20"/>
          <w:lang w:val="es-ES"/>
        </w:rPr>
      </w:pPr>
      <w:r w:rsidRPr="006B66E8">
        <w:rPr>
          <w:rFonts w:ascii="Verdana" w:hAnsi="Verdana"/>
          <w:sz w:val="20"/>
          <w:szCs w:val="20"/>
          <w:lang w:val="es-ES"/>
        </w:rPr>
        <w:t xml:space="preserve">En el marco del punto 1.13 del orden del día se pide que se considere la posibilidad de elevar la categoría de la atribución al SIE en la banda de frecuencias de 14,8-15,35 GHz de la actual categoría secundaria a la categoría primaria. Existe una atribución primaria al SETS (pasivo) en la banda adyacente de 15,35-15,4 GHz; sin embargo no se ha </w:t>
      </w:r>
      <w:r w:rsidR="00E64AFB" w:rsidRPr="006B66E8">
        <w:rPr>
          <w:rFonts w:ascii="Verdana" w:hAnsi="Verdana"/>
          <w:sz w:val="20"/>
          <w:szCs w:val="20"/>
          <w:lang w:val="es-ES"/>
        </w:rPr>
        <w:t>identificado</w:t>
      </w:r>
      <w:r w:rsidRPr="006B66E8">
        <w:rPr>
          <w:rFonts w:ascii="Verdana" w:hAnsi="Verdana"/>
          <w:sz w:val="20"/>
          <w:szCs w:val="20"/>
          <w:lang w:val="es-ES"/>
        </w:rPr>
        <w:t xml:space="preserve"> la banda de frecuencias para operaciones pasivas.</w:t>
      </w:r>
    </w:p>
    <w:p w14:paraId="114B23E8"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El Grupo de Trabajo 7B es el encargado de los estudios.</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3EB" w14:textId="77777777" w:rsidTr="008907B5">
        <w:trPr>
          <w:trHeight w:val="135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3E9"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1.13 del orden del día de la Conferencia Mundial de Radiocomunicaciones de 2023</w:t>
            </w:r>
          </w:p>
          <w:p w14:paraId="114B23EA"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 xml:space="preserve">La OMM no se opone a la elevación de la categoría de la atribución al SIE en la banda de frecuencias de 14,8-15,35 GHz de la actual categoría secundaria a la categoría primaria. </w:t>
            </w:r>
          </w:p>
        </w:tc>
      </w:tr>
    </w:tbl>
    <w:p w14:paraId="114B23EC" w14:textId="77777777" w:rsidR="008907B5" w:rsidRPr="006B66E8" w:rsidRDefault="008907B5" w:rsidP="008907B5">
      <w:pPr>
        <w:pStyle w:val="Heading3"/>
        <w:spacing w:before="240" w:after="240"/>
        <w:rPr>
          <w:lang w:val="es-ES"/>
        </w:rPr>
      </w:pPr>
      <w:r w:rsidRPr="006B66E8">
        <w:rPr>
          <w:lang w:val="es-ES"/>
        </w:rPr>
        <w:t>3.9</w:t>
      </w:r>
      <w:r w:rsidRPr="006B66E8">
        <w:rPr>
          <w:lang w:val="es-ES"/>
        </w:rPr>
        <w:tab/>
        <w:t>Punto 1.14 del orden del día</w:t>
      </w:r>
    </w:p>
    <w:p w14:paraId="114B23ED" w14:textId="77777777" w:rsidR="008907B5" w:rsidRPr="006B66E8" w:rsidRDefault="008907B5" w:rsidP="008907B5">
      <w:pPr>
        <w:spacing w:before="240" w:after="240"/>
        <w:jc w:val="left"/>
        <w:rPr>
          <w:lang w:val="es-ES"/>
        </w:rPr>
      </w:pPr>
      <w:r w:rsidRPr="006B66E8">
        <w:rPr>
          <w:i/>
          <w:iCs/>
          <w:lang w:val="es-ES"/>
        </w:rPr>
        <w:t xml:space="preserve">“examinar y considerar posibles ajustes de las atribuciones a título primario de frecuencias existentes o posibles al SETS (pasivo) en la gama de frecuencias 231,5-252 GHz, con el fin de garantizar la armonización de los requisitos más recientes para la observación por teledetección, de conformidad con la Resolución </w:t>
      </w:r>
      <w:r w:rsidRPr="006B66E8">
        <w:rPr>
          <w:b/>
          <w:bCs/>
          <w:i/>
          <w:iCs/>
          <w:lang w:val="es-ES"/>
        </w:rPr>
        <w:t>662 (CMR-19)</w:t>
      </w:r>
      <w:r w:rsidRPr="006B66E8">
        <w:rPr>
          <w:i/>
          <w:iCs/>
          <w:lang w:val="es-ES"/>
        </w:rPr>
        <w:t>”.</w:t>
      </w:r>
    </w:p>
    <w:p w14:paraId="114B23EE"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Este punto del orden del día de la Conferencia Mundial de Radiocomunicaciones de 2023 fue propuesto por los operadores del MetSat con objeto de lograr una mejor armonización de las atribuciones al SETS (pasivo) en la gama de frecuencias de 231,5-252 GHz o de añadir posibles nuevas atribuciones a ese servicio, teniendo en cuenta los requisitos de diseño de los sensores pasivos. Las atribuciones al SETS (pasivo) en la gama de frecuencias de 231,5-252 GHz se establecieron hace 20 años, en un momento en que las necesidades operativas no estaban claras. El reajuste de las atribuciones redundará en una mejor protección de las futuras operaciones del MetSat en la gama de frecuencias de 231,5-252 GHz. Gracias a los últimos avances científicos y tecnológicos en el ámbito de los sensores pasivos de microondas, las mediciones de las nubes de hielo, que cubren más del 33 % de la superficie terrestre, se </w:t>
      </w:r>
      <w:r w:rsidRPr="006B66E8">
        <w:rPr>
          <w:rFonts w:ascii="Verdana" w:hAnsi="Verdana"/>
          <w:sz w:val="20"/>
          <w:szCs w:val="20"/>
          <w:lang w:val="es-ES"/>
        </w:rPr>
        <w:lastRenderedPageBreak/>
        <w:t xml:space="preserve">remediará un desequilibrio en la cartera de mediciones de la atmósfera. Las nubes de hielo tienen importantes efectos sobre el clima y el ciclo hidrológico de la Tierra al afectar a las precipitaciones, la estructura de la atmósfera y los procesos </w:t>
      </w:r>
      <w:r w:rsidR="00FB793E" w:rsidRPr="006B66E8">
        <w:rPr>
          <w:rFonts w:ascii="Verdana" w:hAnsi="Verdana"/>
          <w:sz w:val="20"/>
          <w:szCs w:val="20"/>
          <w:lang w:val="es-ES"/>
        </w:rPr>
        <w:t xml:space="preserve">relativos a las </w:t>
      </w:r>
      <w:r w:rsidRPr="006B66E8">
        <w:rPr>
          <w:rFonts w:ascii="Verdana" w:hAnsi="Verdana"/>
          <w:sz w:val="20"/>
          <w:szCs w:val="20"/>
          <w:lang w:val="es-ES"/>
        </w:rPr>
        <w:t>nubes. Por tanto, las mediciones a escala mundial de las propiedades de las nubes de hielo —incluido el trayecto del agua helada y la distribución del tamaño de las partículas de hielo— son indispensables.</w:t>
      </w:r>
    </w:p>
    <w:p w14:paraId="114B23EF"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Se requieren dos bandas de 3 000 MHz, en las bandas de 239,2-242,2 GHz y de 244,2</w:t>
      </w:r>
      <w:r w:rsidR="00776A3E" w:rsidRPr="006B66E8">
        <w:rPr>
          <w:rFonts w:ascii="Verdana" w:hAnsi="Verdana"/>
          <w:sz w:val="20"/>
          <w:szCs w:val="20"/>
          <w:lang w:val="es-ES"/>
        </w:rPr>
        <w:noBreakHyphen/>
      </w:r>
      <w:r w:rsidRPr="006B66E8">
        <w:rPr>
          <w:rFonts w:ascii="Verdana" w:hAnsi="Verdana"/>
          <w:sz w:val="20"/>
          <w:szCs w:val="20"/>
          <w:lang w:val="es-ES"/>
        </w:rPr>
        <w:t>247,2</w:t>
      </w:r>
      <w:r w:rsidR="00776A3E" w:rsidRPr="006B66E8">
        <w:rPr>
          <w:rFonts w:ascii="Verdana" w:hAnsi="Verdana"/>
          <w:sz w:val="20"/>
          <w:szCs w:val="20"/>
          <w:lang w:val="es-ES"/>
        </w:rPr>
        <w:t> </w:t>
      </w:r>
      <w:r w:rsidRPr="006B66E8">
        <w:rPr>
          <w:rFonts w:ascii="Verdana" w:hAnsi="Verdana"/>
          <w:sz w:val="20"/>
          <w:szCs w:val="20"/>
          <w:lang w:val="es-ES"/>
        </w:rPr>
        <w:t xml:space="preserve">GHz, para los sensores pasivos para la generación de imágenes de las nubes </w:t>
      </w:r>
      <w:r w:rsidR="00776A3E" w:rsidRPr="006B66E8">
        <w:rPr>
          <w:rFonts w:ascii="Verdana" w:hAnsi="Verdana"/>
          <w:sz w:val="20"/>
          <w:szCs w:val="20"/>
          <w:lang w:val="es-ES"/>
        </w:rPr>
        <w:br/>
      </w:r>
      <w:r w:rsidRPr="006B66E8">
        <w:rPr>
          <w:rFonts w:ascii="Verdana" w:hAnsi="Verdana"/>
          <w:sz w:val="20"/>
          <w:szCs w:val="20"/>
          <w:lang w:val="es-ES"/>
        </w:rPr>
        <w:t xml:space="preserve">de hielo que se están desarrollando actualmente a nivel mundial. </w:t>
      </w:r>
    </w:p>
    <w:p w14:paraId="114B23F0"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Sin embargo, para satisfacer este requisito, sería necesario reordenar las atribuciones del servicio fijo y de los servicios móviles, es decir, suprimir las actuales atribuciones en la banda de frecuencias de 239,2-241 GHz (1,8 GHz) y añadir nuevas atribuciones al servicio fijo y a los servicios móviles en la banda de frecuencias de 235-238 GHz (3 GHz), velando así por que no se impongan restricciones indebidas al servicio fijo y a los servicios móviles, así como tampoco a otros servicios primarios actualmente atribuidos en esta gama de frecuencias. Este enfoque permite evitar el solapamiento de frecuencias entre los sensores de barrido cónico y los servicios fijos y móviles, proporciona a estos servicios un incremento neto de 1,2 GHz de ancho de banda que supone un ancho de banda contiguo total de 7,7 GHz, y no plantea un escenario de compartición de servicios activos diferente al que ya existe en la banda de frecuencias de 232-235 GHz entre el SFS (espacio-Tierra) y los servicios fijos y móviles.</w:t>
      </w:r>
    </w:p>
    <w:p w14:paraId="114B23F1"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El Grupo de Trabajo 7C es el encargado de la realización de los estudios.</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3F6" w14:textId="77777777" w:rsidTr="008907B5">
        <w:trPr>
          <w:trHeight w:val="1855"/>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3F2"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1.14 del orden del día de la Conferencia Mundial de Radiocomunicaciones de 2023</w:t>
            </w:r>
          </w:p>
          <w:p w14:paraId="114B23F3" w14:textId="77777777" w:rsidR="008907B5" w:rsidRPr="006B66E8" w:rsidRDefault="008907B5">
            <w:pPr>
              <w:pStyle w:val="Paragraph"/>
              <w:spacing w:before="240" w:after="240"/>
              <w:jc w:val="left"/>
              <w:rPr>
                <w:rStyle w:val="ECCParagraph"/>
                <w:rFonts w:ascii="Verdana" w:hAnsi="Verdana"/>
                <w:sz w:val="20"/>
                <w:szCs w:val="20"/>
                <w:lang w:val="es-ES"/>
              </w:rPr>
            </w:pPr>
            <w:r w:rsidRPr="006B66E8">
              <w:rPr>
                <w:rFonts w:ascii="Verdana" w:hAnsi="Verdana"/>
                <w:sz w:val="20"/>
                <w:szCs w:val="20"/>
                <w:lang w:val="es-ES"/>
              </w:rPr>
              <w:t>La OMM apoya las nuevas atribuciones a título primario al SETS (pasivo) en las bandas de frecuencias de 239,2-242,2 GHz y de 244,2-247,2 GHz con objeto de satisfacer las necesidades relativas a las mediciones de las nubes de hielo.</w:t>
            </w:r>
          </w:p>
          <w:p w14:paraId="114B23F4" w14:textId="77777777" w:rsidR="008907B5" w:rsidRPr="006B66E8" w:rsidRDefault="008907B5">
            <w:pPr>
              <w:pStyle w:val="Paragraph"/>
              <w:spacing w:before="240" w:after="240"/>
              <w:jc w:val="left"/>
              <w:rPr>
                <w:rStyle w:val="ECCParagraph"/>
                <w:rFonts w:ascii="Verdana" w:hAnsi="Verdana"/>
                <w:sz w:val="20"/>
                <w:szCs w:val="20"/>
                <w:lang w:val="es-ES"/>
              </w:rPr>
            </w:pPr>
            <w:r w:rsidRPr="006B66E8">
              <w:rPr>
                <w:rFonts w:ascii="Verdana" w:hAnsi="Verdana"/>
                <w:sz w:val="20"/>
                <w:szCs w:val="20"/>
                <w:lang w:val="es-ES"/>
              </w:rPr>
              <w:t>Con el fin de evitar la imposición de restricciones indebidas al servicio fijo y a los servicios móviles en la banda de frecuencias de 239,2-241 GHz (actualmente tienen atribuidos 1,8</w:t>
            </w:r>
            <w:r w:rsidR="00776A3E" w:rsidRPr="006B66E8">
              <w:rPr>
                <w:rFonts w:ascii="Verdana" w:hAnsi="Verdana"/>
                <w:sz w:val="20"/>
                <w:szCs w:val="20"/>
                <w:lang w:val="es-ES"/>
              </w:rPr>
              <w:t> </w:t>
            </w:r>
            <w:r w:rsidRPr="006B66E8">
              <w:rPr>
                <w:rFonts w:ascii="Verdana" w:hAnsi="Verdana"/>
                <w:sz w:val="20"/>
                <w:szCs w:val="20"/>
                <w:lang w:val="es-ES"/>
              </w:rPr>
              <w:t xml:space="preserve">GHz de ancho de banda), la OMM también apoya el cambio de las actuales atribuciones al servicio fijo y a los servicios móviles en la banda de frecuencias de 235-238 GHz (para que se les atribuyan 3 GHz de ancho de banda). </w:t>
            </w:r>
          </w:p>
          <w:p w14:paraId="114B23F5"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A fin de prevenir posibles repercusiones para el servicio fijo y los servicios móviles en la banda de frecuencias de 235-238 GHz, la OMM aceptaría limitar la actual atribución al SETS (pasivo) en la banda de frecuencias de 235-238 GHz para que la utilicen únicamente los sensores pasivos de sondeo del limbo.</w:t>
            </w:r>
          </w:p>
        </w:tc>
      </w:tr>
    </w:tbl>
    <w:p w14:paraId="114B23F7" w14:textId="77777777" w:rsidR="008907B5" w:rsidRPr="006B66E8" w:rsidRDefault="008907B5" w:rsidP="008907B5">
      <w:pPr>
        <w:pStyle w:val="Heading3"/>
        <w:spacing w:before="240" w:after="240"/>
        <w:rPr>
          <w:lang w:val="es-ES"/>
        </w:rPr>
      </w:pPr>
      <w:r w:rsidRPr="006B66E8">
        <w:rPr>
          <w:lang w:val="es-ES"/>
        </w:rPr>
        <w:t>3.10</w:t>
      </w:r>
      <w:r w:rsidRPr="006B66E8">
        <w:rPr>
          <w:lang w:val="es-ES"/>
        </w:rPr>
        <w:tab/>
        <w:t>Punto 1.15 del orden del día</w:t>
      </w:r>
    </w:p>
    <w:p w14:paraId="114B23F8" w14:textId="77777777" w:rsidR="008907B5" w:rsidRPr="006B66E8" w:rsidRDefault="008907B5" w:rsidP="008907B5">
      <w:pPr>
        <w:spacing w:before="240" w:after="240"/>
        <w:jc w:val="left"/>
        <w:rPr>
          <w:lang w:val="es-ES"/>
        </w:rPr>
      </w:pPr>
      <w:r w:rsidRPr="006B66E8">
        <w:rPr>
          <w:i/>
          <w:iCs/>
          <w:lang w:val="es-ES"/>
        </w:rPr>
        <w:t>“armonizar a escala mundial la utilización de la banda de frecuencias 12,75-13,25 GHz (Tierra</w:t>
      </w:r>
      <w:r w:rsidR="00776A3E" w:rsidRPr="006B66E8">
        <w:rPr>
          <w:i/>
          <w:iCs/>
          <w:lang w:val="es-ES"/>
        </w:rPr>
        <w:noBreakHyphen/>
      </w:r>
      <w:r w:rsidRPr="006B66E8">
        <w:rPr>
          <w:i/>
          <w:iCs/>
          <w:lang w:val="es-ES"/>
        </w:rPr>
        <w:t xml:space="preserve">espacio) por las estaciones terrenas a bordo de aeronaves y barcos que se comunican con estaciones espaciales geoestacionarias del servicio fijo por satélite, de conformidad con la Resolución </w:t>
      </w:r>
      <w:r w:rsidRPr="006B66E8">
        <w:rPr>
          <w:b/>
          <w:bCs/>
          <w:i/>
          <w:iCs/>
          <w:lang w:val="es-ES"/>
        </w:rPr>
        <w:t>172 (CMR-19)</w:t>
      </w:r>
      <w:r w:rsidRPr="006B66E8">
        <w:rPr>
          <w:i/>
          <w:iCs/>
          <w:lang w:val="es-ES"/>
        </w:rPr>
        <w:t>”.</w:t>
      </w:r>
    </w:p>
    <w:p w14:paraId="114B23F9" w14:textId="77777777" w:rsidR="008907B5" w:rsidRPr="006B66E8" w:rsidRDefault="008907B5" w:rsidP="008907B5">
      <w:pPr>
        <w:spacing w:before="240" w:after="240"/>
        <w:ind w:right="-170"/>
        <w:jc w:val="left"/>
        <w:rPr>
          <w:lang w:val="es-ES"/>
        </w:rPr>
      </w:pPr>
      <w:r w:rsidRPr="006B66E8">
        <w:rPr>
          <w:lang w:val="es-ES"/>
        </w:rPr>
        <w:t xml:space="preserve">En el marco de este punto del orden del día se aborda el funcionamiento de las estaciones terrenas a bordo de aeronaves y buques que se comunican con estaciones espaciales geoestacionarias del SFS en la banda de frecuencias de 12,75-13,25 GHz (Tierra-espacio). Es preciso estudiar los problemas de compartición y compatibilidad entre las estaciones terrenas de las aeronaves y los buques que se comunican con estaciones espaciales en órbita geoestacionaria del SFS. Además, será necesario realizar estudios sobre las estaciones actuales </w:t>
      </w:r>
      <w:r w:rsidRPr="006B66E8">
        <w:rPr>
          <w:lang w:val="es-ES"/>
        </w:rPr>
        <w:lastRenderedPageBreak/>
        <w:t>y planificadas de los servicios existentes, así como sobre los servicios en bandas de frecuencias adyacentes.</w:t>
      </w:r>
    </w:p>
    <w:p w14:paraId="114B23FA" w14:textId="77777777" w:rsidR="008907B5" w:rsidRPr="006B66E8" w:rsidRDefault="008907B5" w:rsidP="008907B5">
      <w:pPr>
        <w:spacing w:before="240" w:after="240"/>
        <w:jc w:val="left"/>
        <w:rPr>
          <w:lang w:val="es-ES"/>
        </w:rPr>
      </w:pPr>
      <w:r w:rsidRPr="006B66E8">
        <w:rPr>
          <w:lang w:val="es-ES"/>
        </w:rPr>
        <w:t>Se han llevado a cabo estudios para abordar las posibles repercusiones de las estaciones terrenas a bordo de aeronaves y buques en el SETS (activo) en la banda adyacente de 13,25</w:t>
      </w:r>
      <w:r w:rsidR="00776A3E" w:rsidRPr="006B66E8">
        <w:rPr>
          <w:lang w:val="es-ES"/>
        </w:rPr>
        <w:noBreakHyphen/>
      </w:r>
      <w:r w:rsidRPr="006B66E8">
        <w:rPr>
          <w:lang w:val="es-ES"/>
        </w:rPr>
        <w:t>13,75 GHz, empleada por diversos altímetros. Los altímetros de radar se utilizan para diversas aplicaciones, como la medición de la altura de la superficie del mar para fines de monitoreo del aumento de nivel del mar a escala mundial.</w:t>
      </w:r>
    </w:p>
    <w:p w14:paraId="114B23FB" w14:textId="77777777" w:rsidR="008907B5" w:rsidRPr="006B66E8" w:rsidRDefault="008907B5" w:rsidP="008907B5">
      <w:pPr>
        <w:spacing w:before="240" w:after="240"/>
        <w:jc w:val="left"/>
        <w:rPr>
          <w:lang w:val="es-ES"/>
        </w:rPr>
      </w:pPr>
      <w:r w:rsidRPr="006B66E8">
        <w:rPr>
          <w:lang w:val="es-ES"/>
        </w:rPr>
        <w:t>El Grupo de Trabajo 7C contribuye en lo concerniente al SETS (activo) en la banda de frecuencias de 13,25-13,75 GHz.</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3FE" w14:textId="77777777" w:rsidTr="008907B5">
        <w:trPr>
          <w:trHeight w:val="1504"/>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3FC"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1.15 del orden del día de la Conferencia Mundial de Radiocomunicaciones de 2023</w:t>
            </w:r>
          </w:p>
          <w:p w14:paraId="114B23FD"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apoya la protección del SETS (activo) en la banda de frecuencias de 13,25</w:t>
            </w:r>
            <w:r w:rsidR="001649B8" w:rsidRPr="006B66E8">
              <w:rPr>
                <w:rFonts w:ascii="Verdana" w:hAnsi="Verdana"/>
                <w:sz w:val="20"/>
                <w:szCs w:val="20"/>
                <w:lang w:val="es-ES"/>
              </w:rPr>
              <w:noBreakHyphen/>
            </w:r>
            <w:r w:rsidRPr="006B66E8">
              <w:rPr>
                <w:rFonts w:ascii="Verdana" w:hAnsi="Verdana"/>
                <w:sz w:val="20"/>
                <w:szCs w:val="20"/>
                <w:lang w:val="es-ES"/>
              </w:rPr>
              <w:t>13,75</w:t>
            </w:r>
            <w:r w:rsidR="00776A3E" w:rsidRPr="006B66E8">
              <w:rPr>
                <w:rFonts w:ascii="Verdana" w:hAnsi="Verdana"/>
                <w:sz w:val="20"/>
                <w:szCs w:val="20"/>
                <w:lang w:val="es-ES"/>
              </w:rPr>
              <w:t> </w:t>
            </w:r>
            <w:r w:rsidRPr="006B66E8">
              <w:rPr>
                <w:rFonts w:ascii="Verdana" w:hAnsi="Verdana"/>
                <w:sz w:val="20"/>
                <w:szCs w:val="20"/>
                <w:lang w:val="es-ES"/>
              </w:rPr>
              <w:t xml:space="preserve">GHz y conviene con la conclusión del UIT-R en que las interferencias </w:t>
            </w:r>
            <w:r w:rsidR="001649B8" w:rsidRPr="006B66E8">
              <w:rPr>
                <w:rFonts w:ascii="Verdana" w:hAnsi="Verdana"/>
                <w:sz w:val="20"/>
                <w:szCs w:val="20"/>
                <w:lang w:val="es-ES"/>
              </w:rPr>
              <w:br/>
            </w:r>
            <w:r w:rsidRPr="006B66E8">
              <w:rPr>
                <w:rFonts w:ascii="Verdana" w:hAnsi="Verdana"/>
                <w:sz w:val="20"/>
                <w:szCs w:val="20"/>
                <w:lang w:val="es-ES"/>
              </w:rPr>
              <w:t>de las estaciones terrenas a bordo de aeronaves y buques en la banda de frecuencias de 12,75-13,25 GHz no plantean un problema y no se requieren disposiciones reglamentarias adicionales.</w:t>
            </w:r>
          </w:p>
        </w:tc>
      </w:tr>
    </w:tbl>
    <w:p w14:paraId="114B23FF" w14:textId="77777777" w:rsidR="008907B5" w:rsidRPr="006B66E8" w:rsidRDefault="008907B5" w:rsidP="008907B5">
      <w:pPr>
        <w:pStyle w:val="Heading3"/>
        <w:spacing w:before="240" w:after="240"/>
        <w:rPr>
          <w:lang w:val="es-ES"/>
        </w:rPr>
      </w:pPr>
      <w:r w:rsidRPr="006B66E8">
        <w:rPr>
          <w:lang w:val="es-ES"/>
        </w:rPr>
        <w:t>3.11</w:t>
      </w:r>
      <w:r w:rsidRPr="006B66E8">
        <w:rPr>
          <w:lang w:val="es-ES"/>
        </w:rPr>
        <w:tab/>
        <w:t>Punto 1.16 del orden del día</w:t>
      </w:r>
    </w:p>
    <w:p w14:paraId="114B2400" w14:textId="77777777" w:rsidR="008907B5" w:rsidRPr="006B66E8" w:rsidRDefault="008907B5" w:rsidP="008907B5">
      <w:pPr>
        <w:spacing w:before="240" w:after="240"/>
        <w:jc w:val="left"/>
        <w:rPr>
          <w:lang w:val="es-ES"/>
        </w:rPr>
      </w:pPr>
      <w:r w:rsidRPr="006B66E8">
        <w:rPr>
          <w:i/>
          <w:iCs/>
          <w:lang w:val="es-ES"/>
        </w:rPr>
        <w:t>“estudiar y desarrollar medidas técnicas, operativas y reglamentarias, según proceda, para facilitar la utilización de las bandas de frecuencias 17,7-18,6 GHz y 18,8-19,3 GHz y 19,7</w:t>
      </w:r>
      <w:r w:rsidR="001649B8" w:rsidRPr="006B66E8">
        <w:rPr>
          <w:i/>
          <w:iCs/>
          <w:lang w:val="es-ES"/>
        </w:rPr>
        <w:noBreakHyphen/>
      </w:r>
      <w:r w:rsidRPr="006B66E8">
        <w:rPr>
          <w:i/>
          <w:iCs/>
          <w:lang w:val="es-ES"/>
        </w:rPr>
        <w:t>20,2</w:t>
      </w:r>
      <w:r w:rsidR="001649B8" w:rsidRPr="006B66E8">
        <w:rPr>
          <w:i/>
          <w:iCs/>
          <w:lang w:val="es-ES"/>
        </w:rPr>
        <w:t> </w:t>
      </w:r>
      <w:r w:rsidRPr="006B66E8">
        <w:rPr>
          <w:i/>
          <w:iCs/>
          <w:lang w:val="es-ES"/>
        </w:rPr>
        <w:t xml:space="preserve">GHz (espacio-Tierra) y 27,5-29,1 GHz y 29,5-30 GHz (Tierra-espacio) por las estaciones terrenas en movimiento del SFS no OSG, garantizando a su vez la debida protección de los servicios existentes en dichas bandas de frecuencias, de conformidad con </w:t>
      </w:r>
      <w:r w:rsidR="001649B8" w:rsidRPr="006B66E8">
        <w:rPr>
          <w:i/>
          <w:iCs/>
          <w:lang w:val="es-ES"/>
        </w:rPr>
        <w:br/>
      </w:r>
      <w:r w:rsidRPr="006B66E8">
        <w:rPr>
          <w:i/>
          <w:iCs/>
          <w:lang w:val="es-ES"/>
        </w:rPr>
        <w:t xml:space="preserve">la Resolución </w:t>
      </w:r>
      <w:r w:rsidRPr="006B66E8">
        <w:rPr>
          <w:b/>
          <w:bCs/>
          <w:i/>
          <w:iCs/>
          <w:lang w:val="es-ES"/>
        </w:rPr>
        <w:t>173 (CMR-19)</w:t>
      </w:r>
      <w:r w:rsidRPr="006B66E8">
        <w:rPr>
          <w:i/>
          <w:iCs/>
          <w:lang w:val="es-ES"/>
        </w:rPr>
        <w:t>”.</w:t>
      </w:r>
    </w:p>
    <w:p w14:paraId="114B2401"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En el marco de este punto del orden del día se pide el estudio y la elaboración de medidas técnicas, operativas y reglamentarias destinadas a facilitar la utilización de varias bandas de frecuencias por las estaciones terrenas en movimiento en órbita no geoestacionaria del SFS. En este punto del orden del día se incluye el examen de las bandas de frecuencias en las que operan las estaciones terrenas en movimiento </w:t>
      </w:r>
      <w:r w:rsidR="0092292A" w:rsidRPr="006B66E8">
        <w:rPr>
          <w:rFonts w:ascii="Verdana" w:hAnsi="Verdana"/>
          <w:sz w:val="20"/>
          <w:szCs w:val="20"/>
          <w:lang w:val="es-ES"/>
        </w:rPr>
        <w:t xml:space="preserve">y que son </w:t>
      </w:r>
      <w:r w:rsidRPr="006B66E8">
        <w:rPr>
          <w:rFonts w:ascii="Verdana" w:hAnsi="Verdana"/>
          <w:sz w:val="20"/>
          <w:szCs w:val="20"/>
          <w:lang w:val="es-ES"/>
        </w:rPr>
        <w:t>adyacentes a la banda de frecuencias de 18,6</w:t>
      </w:r>
      <w:r w:rsidR="00F8638C" w:rsidRPr="006B66E8">
        <w:rPr>
          <w:rFonts w:ascii="Verdana" w:hAnsi="Verdana"/>
          <w:sz w:val="20"/>
          <w:szCs w:val="20"/>
          <w:lang w:val="es-ES"/>
        </w:rPr>
        <w:noBreakHyphen/>
      </w:r>
      <w:r w:rsidRPr="006B66E8">
        <w:rPr>
          <w:rFonts w:ascii="Verdana" w:hAnsi="Verdana"/>
          <w:sz w:val="20"/>
          <w:szCs w:val="20"/>
          <w:lang w:val="es-ES"/>
        </w:rPr>
        <w:t xml:space="preserve">18,8 GHz utilizada para la detección pasiva, así como del posible funcionamiento de las estaciones terrenas en movimiento en la banda de frecuencias de 28,5-30 GHz, donde existe una atribución al SETS </w:t>
      </w:r>
      <w:r w:rsidR="001A415E" w:rsidRPr="006B66E8">
        <w:rPr>
          <w:rFonts w:ascii="Verdana" w:hAnsi="Verdana"/>
          <w:sz w:val="20"/>
          <w:szCs w:val="20"/>
          <w:lang w:val="es-ES"/>
        </w:rPr>
        <w:t xml:space="preserve">a título secundario </w:t>
      </w:r>
      <w:r w:rsidRPr="006B66E8">
        <w:rPr>
          <w:rFonts w:ascii="Verdana" w:hAnsi="Verdana"/>
          <w:sz w:val="20"/>
          <w:szCs w:val="20"/>
          <w:lang w:val="es-ES"/>
        </w:rPr>
        <w:t>para la transmisión de datos.</w:t>
      </w:r>
    </w:p>
    <w:p w14:paraId="114B2402"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La banda de frecuencias de 17,7-18,6 GHz se superpone a las bandas de frecuencias de 18</w:t>
      </w:r>
      <w:r w:rsidR="00F8638C" w:rsidRPr="006B66E8">
        <w:rPr>
          <w:rFonts w:ascii="Verdana" w:hAnsi="Verdana"/>
          <w:sz w:val="20"/>
          <w:szCs w:val="20"/>
          <w:lang w:val="es-ES"/>
        </w:rPr>
        <w:noBreakHyphen/>
      </w:r>
      <w:r w:rsidRPr="006B66E8">
        <w:rPr>
          <w:rFonts w:ascii="Verdana" w:hAnsi="Verdana"/>
          <w:sz w:val="20"/>
          <w:szCs w:val="20"/>
          <w:lang w:val="es-ES"/>
        </w:rPr>
        <w:t xml:space="preserve">18,3 GHz (Región 2 de la UIT) y de 18,1-18,4 GHz (Regiones 1 y 3 de la UIT) atribuidas al MetSat en órbita geoestacionaria, de conformidad con lo dispuesto en la </w:t>
      </w:r>
      <w:r w:rsidRPr="006B66E8">
        <w:rPr>
          <w:rFonts w:ascii="Verdana" w:hAnsi="Verdana"/>
          <w:b/>
          <w:bCs/>
          <w:sz w:val="20"/>
          <w:szCs w:val="20"/>
          <w:lang w:val="es-ES"/>
        </w:rPr>
        <w:t xml:space="preserve">nota 5.519 </w:t>
      </w:r>
      <w:r w:rsidRPr="006B66E8">
        <w:rPr>
          <w:rFonts w:ascii="Verdana" w:hAnsi="Verdana"/>
          <w:sz w:val="20"/>
          <w:szCs w:val="20"/>
          <w:lang w:val="es-ES"/>
        </w:rPr>
        <w:t>del Reglamento de Radiocomunicaciones.</w:t>
      </w:r>
    </w:p>
    <w:p w14:paraId="114B2403"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En cuanto a la banda de frecuencias de 18,6-18,8 GHz, cabe señalar que los estudios del UIT-R indican actualmente la necesidad de establecer un límite de densidad de flujo de potencia (DFP) fuera de banda de −126,4 dBW/m</w:t>
      </w:r>
      <w:r w:rsidRPr="006B66E8">
        <w:rPr>
          <w:rFonts w:ascii="Verdana" w:hAnsi="Verdana"/>
          <w:sz w:val="20"/>
          <w:szCs w:val="20"/>
          <w:vertAlign w:val="superscript"/>
          <w:lang w:val="es-ES"/>
        </w:rPr>
        <w:t>2</w:t>
      </w:r>
      <w:r w:rsidRPr="006B66E8">
        <w:rPr>
          <w:rFonts w:ascii="Verdana" w:hAnsi="Verdana"/>
          <w:sz w:val="20"/>
          <w:szCs w:val="20"/>
          <w:lang w:val="es-ES"/>
        </w:rPr>
        <w:t>/200 MHz para proteger los sensores (pasivos) del SETS.</w:t>
      </w:r>
    </w:p>
    <w:p w14:paraId="114B2404"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En lo que respecta al funcionamiento de las estaciones terrenas en movimiento en la gama de frecuencias de 28,5-30 GHz, en la Resolución </w:t>
      </w:r>
      <w:r w:rsidRPr="006B66E8">
        <w:rPr>
          <w:rFonts w:ascii="Verdana" w:hAnsi="Verdana"/>
          <w:b/>
          <w:bCs/>
          <w:sz w:val="20"/>
          <w:szCs w:val="20"/>
          <w:lang w:val="es-ES"/>
        </w:rPr>
        <w:t>173 (CMR-19)</w:t>
      </w:r>
      <w:r w:rsidRPr="006B66E8">
        <w:rPr>
          <w:rFonts w:ascii="Verdana" w:hAnsi="Verdana"/>
          <w:sz w:val="20"/>
          <w:szCs w:val="20"/>
          <w:lang w:val="es-ES"/>
        </w:rPr>
        <w:t xml:space="preserve"> se establece que no deberían imponerse restricciones adicionales al SETS. Sin embargo, la atribución al SETS es a título secundario, mientras que la atribución al SFS es a título primario. En esta etapa no queda claro cómo se puede lograr que no se impongan restricciones adicionales al SETS sin contravenir un principio básico del Reglamento de Radiocomunicaciones.</w:t>
      </w:r>
    </w:p>
    <w:p w14:paraId="114B2405"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lastRenderedPageBreak/>
        <w:t xml:space="preserve">El Grupo de Trabajo 4A es el encargado de los estudios, mientras que el Grupo de Trabajo 7B contribuye </w:t>
      </w:r>
      <w:r w:rsidR="00036A9B" w:rsidRPr="006B66E8">
        <w:rPr>
          <w:rFonts w:ascii="Verdana" w:hAnsi="Verdana"/>
          <w:sz w:val="20"/>
          <w:szCs w:val="20"/>
          <w:lang w:val="es-ES"/>
        </w:rPr>
        <w:t xml:space="preserve">a ellos </w:t>
      </w:r>
      <w:r w:rsidRPr="006B66E8">
        <w:rPr>
          <w:rFonts w:ascii="Verdana" w:hAnsi="Verdana"/>
          <w:sz w:val="20"/>
          <w:szCs w:val="20"/>
          <w:lang w:val="es-ES"/>
        </w:rPr>
        <w:t xml:space="preserve">en lo concerniente al SETS en la banda de frecuencias de 28,5-30 GHz, </w:t>
      </w:r>
      <w:r w:rsidR="00681435" w:rsidRPr="006B66E8">
        <w:rPr>
          <w:rFonts w:ascii="Verdana" w:hAnsi="Verdana"/>
          <w:sz w:val="20"/>
          <w:szCs w:val="20"/>
          <w:lang w:val="es-ES"/>
        </w:rPr>
        <w:br/>
      </w:r>
      <w:r w:rsidRPr="006B66E8">
        <w:rPr>
          <w:rFonts w:ascii="Verdana" w:hAnsi="Verdana"/>
          <w:sz w:val="20"/>
          <w:szCs w:val="20"/>
          <w:lang w:val="es-ES"/>
        </w:rPr>
        <w:t>y el Grupo de Trabajo 7C</w:t>
      </w:r>
      <w:r w:rsidR="00036A9B" w:rsidRPr="006B66E8">
        <w:rPr>
          <w:rFonts w:ascii="Verdana" w:hAnsi="Verdana"/>
          <w:sz w:val="20"/>
          <w:szCs w:val="20"/>
          <w:lang w:val="es-ES"/>
        </w:rPr>
        <w:t>,</w:t>
      </w:r>
      <w:r w:rsidRPr="006B66E8">
        <w:rPr>
          <w:rFonts w:ascii="Verdana" w:hAnsi="Verdana"/>
          <w:sz w:val="20"/>
          <w:szCs w:val="20"/>
          <w:lang w:val="es-ES"/>
        </w:rPr>
        <w:t xml:space="preserve"> en lo concerniente al SETS (pasivo) en la banda de frecuencias 18,6</w:t>
      </w:r>
      <w:r w:rsidR="00F8638C" w:rsidRPr="006B66E8">
        <w:rPr>
          <w:rFonts w:ascii="Verdana" w:hAnsi="Verdana"/>
          <w:sz w:val="20"/>
          <w:szCs w:val="20"/>
          <w:lang w:val="es-ES"/>
        </w:rPr>
        <w:noBreakHyphen/>
      </w:r>
      <w:r w:rsidRPr="006B66E8">
        <w:rPr>
          <w:rFonts w:ascii="Verdana" w:hAnsi="Verdana"/>
          <w:sz w:val="20"/>
          <w:szCs w:val="20"/>
          <w:lang w:val="es-ES"/>
        </w:rPr>
        <w:t>18,8 GHz.</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409" w14:textId="77777777" w:rsidTr="008907B5">
        <w:trPr>
          <w:trHeight w:val="180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406" w14:textId="77777777" w:rsidR="008907B5" w:rsidRPr="006B66E8" w:rsidRDefault="008907B5">
            <w:pPr>
              <w:pStyle w:val="Headingb"/>
              <w:spacing w:before="240" w:after="240"/>
              <w:rPr>
                <w:rStyle w:val="ECCParagraph"/>
                <w:rFonts w:ascii="Verdana" w:hAnsi="Verdana"/>
                <w:sz w:val="20"/>
                <w:szCs w:val="20"/>
                <w:lang w:val="es-ES"/>
              </w:rPr>
            </w:pPr>
            <w:r w:rsidRPr="006B66E8">
              <w:rPr>
                <w:rFonts w:ascii="Verdana" w:hAnsi="Verdana"/>
                <w:bCs/>
                <w:sz w:val="20"/>
                <w:lang w:val="es-ES"/>
              </w:rPr>
              <w:t>Posición de la Organización Meteorológica Mundial respecto al punto 1.16 del orden del día de la Conferencia Mundial de Radiocomunicaciones de 2023</w:t>
            </w:r>
          </w:p>
          <w:p w14:paraId="114B2407" w14:textId="34AF37D4"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no se opone a la utilización de las bandas de frecuencias de 17,7-18,6</w:t>
            </w:r>
            <w:r w:rsidR="00936A3F" w:rsidRPr="006B66E8">
              <w:rPr>
                <w:rFonts w:ascii="Verdana" w:hAnsi="Verdana"/>
                <w:sz w:val="20"/>
                <w:szCs w:val="20"/>
                <w:lang w:val="es-ES"/>
              </w:rPr>
              <w:t> </w:t>
            </w:r>
            <w:r w:rsidRPr="006B66E8">
              <w:rPr>
                <w:rFonts w:ascii="Verdana" w:hAnsi="Verdana"/>
                <w:sz w:val="20"/>
                <w:szCs w:val="20"/>
                <w:lang w:val="es-ES"/>
              </w:rPr>
              <w:t>GHz y de 18,8</w:t>
            </w:r>
            <w:r w:rsidR="0045561B" w:rsidRPr="006B66E8">
              <w:rPr>
                <w:rFonts w:ascii="Verdana" w:hAnsi="Verdana"/>
                <w:sz w:val="20"/>
                <w:szCs w:val="20"/>
                <w:lang w:val="es-ES"/>
              </w:rPr>
              <w:noBreakHyphen/>
            </w:r>
            <w:r w:rsidRPr="006B66E8">
              <w:rPr>
                <w:rFonts w:ascii="Verdana" w:hAnsi="Verdana"/>
                <w:sz w:val="20"/>
                <w:szCs w:val="20"/>
                <w:lang w:val="es-ES"/>
              </w:rPr>
              <w:t>19,3 GHz (espacio-Tierra) para las comunicaciones con las estaciones terrenas en movimiento en órbita no geoestacionaria del SFS, siempre que se establezca un límite adecuado de DFP fuera de banda en la superficie de la Tierra para prote</w:t>
            </w:r>
            <w:r w:rsidR="00F8638C" w:rsidRPr="006B66E8">
              <w:rPr>
                <w:rFonts w:ascii="Verdana" w:hAnsi="Verdana"/>
                <w:sz w:val="20"/>
                <w:szCs w:val="20"/>
                <w:lang w:val="es-ES"/>
              </w:rPr>
              <w:t>g</w:t>
            </w:r>
            <w:r w:rsidRPr="006B66E8">
              <w:rPr>
                <w:rFonts w:ascii="Verdana" w:hAnsi="Verdana"/>
                <w:sz w:val="20"/>
                <w:szCs w:val="20"/>
                <w:lang w:val="es-ES"/>
              </w:rPr>
              <w:t xml:space="preserve">er el SETS (pasivo) </w:t>
            </w:r>
            <w:r w:rsidR="0045561B" w:rsidRPr="006B66E8">
              <w:rPr>
                <w:rFonts w:ascii="Verdana" w:hAnsi="Verdana"/>
                <w:sz w:val="20"/>
                <w:szCs w:val="20"/>
                <w:lang w:val="es-ES"/>
              </w:rPr>
              <w:br/>
            </w:r>
            <w:r w:rsidRPr="006B66E8">
              <w:rPr>
                <w:rFonts w:ascii="Verdana" w:hAnsi="Verdana"/>
                <w:sz w:val="20"/>
                <w:szCs w:val="20"/>
                <w:lang w:val="es-ES"/>
              </w:rPr>
              <w:t>en la banda de frecuencias de 18,6-18,8 GHz. Según los estudios actuales, un valor de −126,4</w:t>
            </w:r>
            <w:r w:rsidR="0045561B" w:rsidRPr="006B66E8">
              <w:rPr>
                <w:rFonts w:ascii="Verdana" w:hAnsi="Verdana"/>
                <w:sz w:val="20"/>
                <w:szCs w:val="20"/>
                <w:lang w:val="es-ES"/>
              </w:rPr>
              <w:t> </w:t>
            </w:r>
            <w:r w:rsidRPr="006B66E8">
              <w:rPr>
                <w:rFonts w:ascii="Verdana" w:hAnsi="Verdana"/>
                <w:sz w:val="20"/>
                <w:szCs w:val="20"/>
                <w:lang w:val="es-ES"/>
              </w:rPr>
              <w:t>dBW/m</w:t>
            </w:r>
            <w:r w:rsidRPr="006B66E8">
              <w:rPr>
                <w:rFonts w:ascii="Verdana" w:hAnsi="Verdana"/>
                <w:sz w:val="20"/>
                <w:szCs w:val="20"/>
                <w:vertAlign w:val="superscript"/>
                <w:lang w:val="es-ES"/>
              </w:rPr>
              <w:t>2</w:t>
            </w:r>
            <w:r w:rsidRPr="006B66E8">
              <w:rPr>
                <w:rFonts w:ascii="Verdana" w:hAnsi="Verdana"/>
                <w:sz w:val="20"/>
                <w:szCs w:val="20"/>
                <w:lang w:val="es-ES"/>
              </w:rPr>
              <w:t xml:space="preserve">/200 MHz podría ser adecuado. </w:t>
            </w:r>
          </w:p>
          <w:p w14:paraId="114B2408"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No se han realizado estudios con respecto al MetSat; sin embargo, pueden requerirse disposiciones adicionales para que el despliegue de estaciones terrenas en movimiento en órbita no geoestacionaria del SFS no interfiera con la atribución de bandas de frecuencias compartidas al MetSat en las bandas de 18-18,3 GHz (Región 2 de la UIT) y de 18,1</w:t>
            </w:r>
            <w:r w:rsidR="00F8638C" w:rsidRPr="006B66E8">
              <w:rPr>
                <w:rFonts w:ascii="Verdana" w:hAnsi="Verdana"/>
                <w:sz w:val="20"/>
                <w:szCs w:val="20"/>
                <w:lang w:val="es-ES"/>
              </w:rPr>
              <w:noBreakHyphen/>
            </w:r>
            <w:r w:rsidRPr="006B66E8">
              <w:rPr>
                <w:rFonts w:ascii="Verdana" w:hAnsi="Verdana"/>
                <w:sz w:val="20"/>
                <w:szCs w:val="20"/>
                <w:lang w:val="es-ES"/>
              </w:rPr>
              <w:t>18,4</w:t>
            </w:r>
            <w:r w:rsidR="00F8638C" w:rsidRPr="006B66E8">
              <w:rPr>
                <w:rFonts w:ascii="Verdana" w:hAnsi="Verdana"/>
                <w:sz w:val="20"/>
                <w:szCs w:val="20"/>
                <w:lang w:val="es-ES"/>
              </w:rPr>
              <w:t> </w:t>
            </w:r>
            <w:r w:rsidRPr="006B66E8">
              <w:rPr>
                <w:rFonts w:ascii="Verdana" w:hAnsi="Verdana"/>
                <w:sz w:val="20"/>
                <w:szCs w:val="20"/>
                <w:lang w:val="es-ES"/>
              </w:rPr>
              <w:t>GHz (Regiones 1 y 3 de la UIT).</w:t>
            </w:r>
          </w:p>
        </w:tc>
      </w:tr>
    </w:tbl>
    <w:p w14:paraId="114B240A" w14:textId="77777777" w:rsidR="008907B5" w:rsidRPr="006B66E8" w:rsidRDefault="008907B5" w:rsidP="008907B5">
      <w:pPr>
        <w:pStyle w:val="Heading3"/>
        <w:spacing w:before="240" w:after="240"/>
        <w:rPr>
          <w:lang w:val="es-ES"/>
        </w:rPr>
      </w:pPr>
      <w:r w:rsidRPr="006B66E8">
        <w:rPr>
          <w:lang w:val="es-ES"/>
        </w:rPr>
        <w:t>3.12</w:t>
      </w:r>
      <w:r w:rsidRPr="006B66E8">
        <w:rPr>
          <w:lang w:val="es-ES"/>
        </w:rPr>
        <w:tab/>
        <w:t>Punto 1.17 del orden del día</w:t>
      </w:r>
    </w:p>
    <w:p w14:paraId="114B240B" w14:textId="77777777" w:rsidR="008907B5" w:rsidRPr="006B66E8" w:rsidRDefault="008907B5" w:rsidP="008907B5">
      <w:pPr>
        <w:spacing w:before="240" w:after="240"/>
        <w:jc w:val="left"/>
        <w:rPr>
          <w:lang w:val="es-ES"/>
        </w:rPr>
      </w:pPr>
      <w:r w:rsidRPr="006B66E8">
        <w:rPr>
          <w:i/>
          <w:iCs/>
          <w:lang w:val="es-ES"/>
        </w:rPr>
        <w:t>“determinar y tomar, basándose en los estudios del UIT-R previstos en la Resolución</w:t>
      </w:r>
      <w:r w:rsidR="00F8638C" w:rsidRPr="006B66E8">
        <w:rPr>
          <w:i/>
          <w:iCs/>
          <w:lang w:val="es-ES"/>
        </w:rPr>
        <w:t> </w:t>
      </w:r>
      <w:r w:rsidRPr="006B66E8">
        <w:rPr>
          <w:b/>
          <w:bCs/>
          <w:i/>
          <w:iCs/>
          <w:lang w:val="es-ES"/>
        </w:rPr>
        <w:t>773</w:t>
      </w:r>
      <w:r w:rsidR="00F8638C" w:rsidRPr="006B66E8">
        <w:rPr>
          <w:b/>
          <w:bCs/>
          <w:i/>
          <w:iCs/>
          <w:lang w:val="es-ES"/>
        </w:rPr>
        <w:t> </w:t>
      </w:r>
      <w:r w:rsidRPr="006B66E8">
        <w:rPr>
          <w:b/>
          <w:bCs/>
          <w:i/>
          <w:iCs/>
          <w:lang w:val="es-ES"/>
        </w:rPr>
        <w:t>(CMR-19)</w:t>
      </w:r>
      <w:r w:rsidRPr="006B66E8">
        <w:rPr>
          <w:i/>
          <w:iCs/>
          <w:lang w:val="es-ES"/>
        </w:rPr>
        <w:t xml:space="preserve">, las medidas reglamentarias apropiadas para el </w:t>
      </w:r>
      <w:r w:rsidR="00F8638C" w:rsidRPr="006B66E8">
        <w:rPr>
          <w:i/>
          <w:iCs/>
          <w:lang w:val="es-ES"/>
        </w:rPr>
        <w:br/>
      </w:r>
      <w:r w:rsidRPr="006B66E8">
        <w:rPr>
          <w:i/>
          <w:iCs/>
          <w:lang w:val="es-ES"/>
        </w:rPr>
        <w:t xml:space="preserve">establecimiento de enlaces entre satélites en bandas de frecuencias específicas o </w:t>
      </w:r>
      <w:r w:rsidR="00F8638C" w:rsidRPr="006B66E8">
        <w:rPr>
          <w:i/>
          <w:iCs/>
          <w:lang w:val="es-ES"/>
        </w:rPr>
        <w:br/>
      </w:r>
      <w:r w:rsidRPr="006B66E8">
        <w:rPr>
          <w:i/>
          <w:iCs/>
          <w:lang w:val="es-ES"/>
        </w:rPr>
        <w:t>partes de las mismas, mediante una nueva atribución al servicio entre satélites donde corresponda”.</w:t>
      </w:r>
    </w:p>
    <w:p w14:paraId="114B240C"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En este punto del orden del día se pide la realización de estudios sobre disposiciones que permitan el funcionamiento de enlaces entre satélites en diversas bandas de frecuencias atribuidas al SFS (por ejemplo, 11,7-12,7 GHz, 18,1-18,6 GHz, 18,8-20,2 GHz y 27,5-30 GHz).</w:t>
      </w:r>
    </w:p>
    <w:p w14:paraId="114B240D"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La banda de frecuencias de 18,1-18,6 GHz se superpone a las bandas de frecuencias de 18</w:t>
      </w:r>
      <w:r w:rsidR="00F8638C" w:rsidRPr="006B66E8">
        <w:rPr>
          <w:rFonts w:ascii="Verdana" w:hAnsi="Verdana"/>
          <w:sz w:val="20"/>
          <w:szCs w:val="20"/>
          <w:lang w:val="es-ES"/>
        </w:rPr>
        <w:noBreakHyphen/>
      </w:r>
      <w:r w:rsidRPr="006B66E8">
        <w:rPr>
          <w:rFonts w:ascii="Verdana" w:hAnsi="Verdana"/>
          <w:sz w:val="20"/>
          <w:szCs w:val="20"/>
          <w:lang w:val="es-ES"/>
        </w:rPr>
        <w:t xml:space="preserve">18,3 GHz (Región 2 de la UIT) y de 18,1-18,4 GHz (Regiones 1 y 3 de la UIT) atribuidas al MetSat en órbita geoestacionaria, de conformidad con lo dispuesto en la </w:t>
      </w:r>
      <w:r w:rsidRPr="006B66E8">
        <w:rPr>
          <w:rFonts w:ascii="Verdana" w:hAnsi="Verdana"/>
          <w:b/>
          <w:bCs/>
          <w:sz w:val="20"/>
          <w:szCs w:val="20"/>
          <w:lang w:val="es-ES"/>
        </w:rPr>
        <w:t xml:space="preserve">nota 5.519 </w:t>
      </w:r>
      <w:r w:rsidRPr="006B66E8">
        <w:rPr>
          <w:rFonts w:ascii="Verdana" w:hAnsi="Verdana"/>
          <w:sz w:val="20"/>
          <w:szCs w:val="20"/>
          <w:lang w:val="es-ES"/>
        </w:rPr>
        <w:t xml:space="preserve">del Reglamento de Radiocomunicaciones. </w:t>
      </w:r>
    </w:p>
    <w:p w14:paraId="114B240E"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La OMM podría tener cierto interés en estos enlaces en particular.</w:t>
      </w:r>
    </w:p>
    <w:p w14:paraId="114B240F"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En lo que respecta a la banda de frecuencias de 18,6-18,8 GHz, cabe señalar que el Grupo de Trabajo 7C del UIT-R actualmente se ocupa de las interferencias recibidas por los sensores del SETS (pasivo) en la banda de frecuencias de 18,6-18,8 GHz. En este contexto, conviene estudiar si el funcionamiento de los enlaces entre satélites en las bandas adyacentes provocaría cambios en el entorno de interferencia al SETS (pasivo).</w:t>
      </w:r>
    </w:p>
    <w:p w14:paraId="114B2410"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La banda de frecuencias de 27,5-30 GHz se superpone parcialmente a la banda de frecuencias de 28,5-30 GHz atribuida al SETS (Tierra-espacio) a título secundario, de conformidad con lo dispuesto en la </w:t>
      </w:r>
      <w:r w:rsidRPr="006B66E8">
        <w:rPr>
          <w:rFonts w:ascii="Verdana" w:hAnsi="Verdana"/>
          <w:b/>
          <w:bCs/>
          <w:sz w:val="20"/>
          <w:szCs w:val="20"/>
          <w:lang w:val="es-ES"/>
        </w:rPr>
        <w:t>nota 5.541</w:t>
      </w:r>
      <w:r w:rsidRPr="006B66E8">
        <w:rPr>
          <w:rFonts w:ascii="Verdana" w:hAnsi="Verdana"/>
          <w:sz w:val="20"/>
          <w:szCs w:val="20"/>
          <w:lang w:val="es-ES"/>
        </w:rPr>
        <w:t xml:space="preserve"> del Reglamento de Radiocomunicaciones. En esta etapa no queda claro si es necesario adoptar medidas para proteger esa atribución secundaria.</w:t>
      </w:r>
    </w:p>
    <w:p w14:paraId="114B2411"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 xml:space="preserve">El Grupo de Trabajo 4A es el encargado de los estudios, mientras que el Grupo de Trabajo 7B contribuye </w:t>
      </w:r>
      <w:r w:rsidR="00681435" w:rsidRPr="006B66E8">
        <w:rPr>
          <w:rFonts w:ascii="Verdana" w:hAnsi="Verdana"/>
          <w:sz w:val="20"/>
          <w:szCs w:val="20"/>
          <w:lang w:val="es-ES"/>
        </w:rPr>
        <w:t xml:space="preserve">a ellos </w:t>
      </w:r>
      <w:r w:rsidRPr="006B66E8">
        <w:rPr>
          <w:rFonts w:ascii="Verdana" w:hAnsi="Verdana"/>
          <w:sz w:val="20"/>
          <w:szCs w:val="20"/>
          <w:lang w:val="es-ES"/>
        </w:rPr>
        <w:t xml:space="preserve">en lo concerniente al MetSat en la banda de frecuencias de 18-18,4 GHz, </w:t>
      </w:r>
      <w:r w:rsidR="00681435" w:rsidRPr="006B66E8">
        <w:rPr>
          <w:rFonts w:ascii="Verdana" w:hAnsi="Verdana"/>
          <w:sz w:val="20"/>
          <w:szCs w:val="20"/>
          <w:lang w:val="es-ES"/>
        </w:rPr>
        <w:br/>
      </w:r>
      <w:r w:rsidRPr="006B66E8">
        <w:rPr>
          <w:rFonts w:ascii="Verdana" w:hAnsi="Verdana"/>
          <w:sz w:val="20"/>
          <w:szCs w:val="20"/>
          <w:lang w:val="es-ES"/>
        </w:rPr>
        <w:t>y el Grupo de Trabajo 7C</w:t>
      </w:r>
      <w:r w:rsidR="00681435" w:rsidRPr="006B66E8">
        <w:rPr>
          <w:rFonts w:ascii="Verdana" w:hAnsi="Verdana"/>
          <w:sz w:val="20"/>
          <w:szCs w:val="20"/>
          <w:lang w:val="es-ES"/>
        </w:rPr>
        <w:t>,</w:t>
      </w:r>
      <w:r w:rsidRPr="006B66E8">
        <w:rPr>
          <w:rFonts w:ascii="Verdana" w:hAnsi="Verdana"/>
          <w:sz w:val="20"/>
          <w:szCs w:val="20"/>
          <w:lang w:val="es-ES"/>
        </w:rPr>
        <w:t xml:space="preserve"> en lo concerniente al SETS (pasivo) en la banda de frecuencias de 18,6-18,8 GHz.</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414" w14:textId="77777777" w:rsidTr="008907B5">
        <w:trPr>
          <w:trHeight w:val="182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412"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lastRenderedPageBreak/>
              <w:t>Posición de la Organización Meteorológica Mundial respecto al punto 1.17 del orden del día de la Conferencia Mundial de Radiocomunicaciones de 2023</w:t>
            </w:r>
          </w:p>
          <w:p w14:paraId="114B2413" w14:textId="46361CE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apoya la definición de condiciones técnicas y la elaboración de disposiciones reglamentarias para las operaciones entre satélites en las bandas de frecuencias de 18,1</w:t>
            </w:r>
            <w:r w:rsidR="00F8638C" w:rsidRPr="006B66E8">
              <w:rPr>
                <w:rFonts w:ascii="Verdana" w:hAnsi="Verdana"/>
                <w:sz w:val="20"/>
                <w:szCs w:val="20"/>
                <w:lang w:val="es-ES"/>
              </w:rPr>
              <w:noBreakHyphen/>
            </w:r>
            <w:r w:rsidRPr="006B66E8">
              <w:rPr>
                <w:rFonts w:ascii="Verdana" w:hAnsi="Verdana"/>
                <w:sz w:val="20"/>
                <w:szCs w:val="20"/>
                <w:lang w:val="es-ES"/>
              </w:rPr>
              <w:t>18,6</w:t>
            </w:r>
            <w:r w:rsidR="00C86886" w:rsidRPr="006B66E8">
              <w:rPr>
                <w:rFonts w:ascii="Verdana" w:hAnsi="Verdana"/>
                <w:sz w:val="20"/>
                <w:szCs w:val="20"/>
                <w:lang w:val="es-ES"/>
              </w:rPr>
              <w:t> </w:t>
            </w:r>
            <w:r w:rsidRPr="006B66E8">
              <w:rPr>
                <w:rFonts w:ascii="Verdana" w:hAnsi="Verdana"/>
                <w:sz w:val="20"/>
                <w:szCs w:val="20"/>
                <w:lang w:val="es-ES"/>
              </w:rPr>
              <w:t xml:space="preserve">GHz, 18,8-20,2 GHz y 27,5-30 GHz, o en partes de </w:t>
            </w:r>
            <w:r w:rsidR="006275BD" w:rsidRPr="006B66E8">
              <w:rPr>
                <w:rFonts w:ascii="Verdana" w:hAnsi="Verdana"/>
                <w:sz w:val="20"/>
                <w:szCs w:val="20"/>
                <w:lang w:val="es-ES"/>
              </w:rPr>
              <w:t>estas</w:t>
            </w:r>
            <w:r w:rsidRPr="006B66E8">
              <w:rPr>
                <w:rFonts w:ascii="Verdana" w:hAnsi="Verdana"/>
                <w:sz w:val="20"/>
                <w:szCs w:val="20"/>
                <w:lang w:val="es-ES"/>
              </w:rPr>
              <w:t xml:space="preserve">, según proceda. </w:t>
            </w:r>
            <w:r w:rsidR="00C86886" w:rsidRPr="006B66E8">
              <w:rPr>
                <w:rFonts w:ascii="Verdana" w:hAnsi="Verdana"/>
                <w:sz w:val="20"/>
                <w:szCs w:val="20"/>
                <w:lang w:val="es-ES"/>
              </w:rPr>
              <w:br/>
            </w:r>
            <w:r w:rsidRPr="006B66E8">
              <w:rPr>
                <w:rFonts w:ascii="Verdana" w:hAnsi="Verdana"/>
                <w:sz w:val="20"/>
                <w:szCs w:val="20"/>
                <w:lang w:val="es-ES"/>
              </w:rPr>
              <w:t xml:space="preserve">En concreto, la OMM apoya la aplicación de disposiciones reglamentarias que garanticen </w:t>
            </w:r>
            <w:r w:rsidR="00C86886" w:rsidRPr="006B66E8">
              <w:rPr>
                <w:rFonts w:ascii="Verdana" w:hAnsi="Verdana"/>
                <w:sz w:val="20"/>
                <w:szCs w:val="20"/>
                <w:lang w:val="es-ES"/>
              </w:rPr>
              <w:br/>
            </w:r>
            <w:r w:rsidRPr="006B66E8">
              <w:rPr>
                <w:rFonts w:ascii="Verdana" w:hAnsi="Verdana"/>
                <w:sz w:val="20"/>
                <w:szCs w:val="20"/>
                <w:lang w:val="es-ES"/>
              </w:rPr>
              <w:t xml:space="preserve">que el funcionamiento de las transmisiones de enlace entre satélites no provoque un aumento de las interferencias al MetSat en las bandas de frecuencias de 18-18,3 GHz (Región 2 de la UIT) o 18,1-18,4 GHz (Regiones 1 y 3 de la UIT), o al SETS (pasivo) en la banda de frecuencias de 18,6-18,8 GHz. En particular, la OMM apoya el establecimiento de un límite adecuado de DFP fuera de banda en la superficie de la Tierra para proteger el SETS (pasivo) </w:t>
            </w:r>
            <w:r w:rsidR="00C86886" w:rsidRPr="006B66E8">
              <w:rPr>
                <w:rFonts w:ascii="Verdana" w:hAnsi="Verdana"/>
                <w:sz w:val="20"/>
                <w:szCs w:val="20"/>
                <w:lang w:val="es-ES"/>
              </w:rPr>
              <w:br/>
            </w:r>
            <w:r w:rsidRPr="006B66E8">
              <w:rPr>
                <w:rFonts w:ascii="Verdana" w:hAnsi="Verdana"/>
                <w:sz w:val="20"/>
                <w:szCs w:val="20"/>
                <w:lang w:val="es-ES"/>
              </w:rPr>
              <w:t>en la banda de frecuencias de 18,6-18,8 GHz. Según los estudios actuales, un valor de −126,4</w:t>
            </w:r>
            <w:r w:rsidR="00C86886" w:rsidRPr="006B66E8">
              <w:rPr>
                <w:rFonts w:ascii="Verdana" w:hAnsi="Verdana"/>
                <w:sz w:val="20"/>
                <w:szCs w:val="20"/>
                <w:lang w:val="es-ES"/>
              </w:rPr>
              <w:t> </w:t>
            </w:r>
            <w:r w:rsidRPr="006B66E8">
              <w:rPr>
                <w:rFonts w:ascii="Verdana" w:hAnsi="Verdana"/>
                <w:sz w:val="20"/>
                <w:szCs w:val="20"/>
                <w:lang w:val="es-ES"/>
              </w:rPr>
              <w:t>dBW/m</w:t>
            </w:r>
            <w:r w:rsidRPr="006B66E8">
              <w:rPr>
                <w:rFonts w:ascii="Verdana" w:hAnsi="Verdana"/>
                <w:sz w:val="20"/>
                <w:szCs w:val="20"/>
                <w:vertAlign w:val="superscript"/>
                <w:lang w:val="es-ES"/>
              </w:rPr>
              <w:t>2</w:t>
            </w:r>
            <w:r w:rsidRPr="006B66E8">
              <w:rPr>
                <w:rFonts w:ascii="Verdana" w:hAnsi="Verdana"/>
                <w:sz w:val="20"/>
                <w:szCs w:val="20"/>
                <w:lang w:val="es-ES"/>
              </w:rPr>
              <w:t>/200 MHz podría ser adecuado.</w:t>
            </w:r>
          </w:p>
        </w:tc>
      </w:tr>
    </w:tbl>
    <w:p w14:paraId="114B2415" w14:textId="77777777" w:rsidR="008907B5" w:rsidRPr="006B66E8" w:rsidRDefault="008907B5" w:rsidP="002D3080">
      <w:pPr>
        <w:pStyle w:val="Heading3"/>
        <w:spacing w:before="240" w:after="240"/>
        <w:rPr>
          <w:lang w:val="es-ES"/>
        </w:rPr>
      </w:pPr>
      <w:r w:rsidRPr="006B66E8">
        <w:rPr>
          <w:lang w:val="es-ES"/>
        </w:rPr>
        <w:t>3.13</w:t>
      </w:r>
      <w:r w:rsidRPr="006B66E8">
        <w:rPr>
          <w:lang w:val="es-ES"/>
        </w:rPr>
        <w:tab/>
        <w:t>Punto 1.18 del orden del día</w:t>
      </w:r>
    </w:p>
    <w:p w14:paraId="114B2416" w14:textId="77777777" w:rsidR="008907B5" w:rsidRPr="006B66E8" w:rsidRDefault="008907B5" w:rsidP="008907B5">
      <w:pPr>
        <w:spacing w:before="240" w:after="240"/>
        <w:jc w:val="left"/>
        <w:rPr>
          <w:lang w:val="es-ES"/>
        </w:rPr>
      </w:pPr>
      <w:r w:rsidRPr="006B66E8">
        <w:rPr>
          <w:i/>
          <w:iCs/>
          <w:lang w:val="es-ES"/>
        </w:rPr>
        <w:t>“considerar la posibilidad de realizar estudios relativos a las necesidades de espectro del servicio móvil, así como la posibilidad de otorgarle nuevas atribuciones, para el desarrollo futuro de sistemas móviles por satélite de banda estrecha, de conformidad con la Resolución</w:t>
      </w:r>
      <w:r w:rsidR="00F8638C" w:rsidRPr="006B66E8">
        <w:rPr>
          <w:i/>
          <w:iCs/>
          <w:lang w:val="es-ES"/>
        </w:rPr>
        <w:t> </w:t>
      </w:r>
      <w:r w:rsidRPr="006B66E8">
        <w:rPr>
          <w:b/>
          <w:bCs/>
          <w:i/>
          <w:iCs/>
          <w:lang w:val="es-ES"/>
        </w:rPr>
        <w:t>248 (CMR-19)</w:t>
      </w:r>
      <w:r w:rsidRPr="006B66E8">
        <w:rPr>
          <w:i/>
          <w:iCs/>
          <w:lang w:val="es-ES"/>
        </w:rPr>
        <w:t>”.</w:t>
      </w:r>
    </w:p>
    <w:p w14:paraId="114B2417"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En el marco de este punto del orden del día se emprende la realización de estudios concebidos para analizar nuevas atribuciones al espectro del SMS en diversas bandas de frecuencias, incluido el análisis de la banda de frecuencias de 1 695-1 710 MHz (solo en la Región 2). La banda de frecuencias de 1 695-1 710 MHz está atribuida al MetSat y se utiliza principalmente para los enlaces descendentes de datos del MetSat en órbita no geoestacionaria a estaciones terrenas de todo el mundo.</w:t>
      </w:r>
    </w:p>
    <w:p w14:paraId="114B2418" w14:textId="7CDD72D9"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Para un abanico de aplicaciones diferentes, el uso de la banda L del MetSat (1</w:t>
      </w:r>
      <w:r w:rsidR="006275BD" w:rsidRPr="006B66E8">
        <w:rPr>
          <w:rFonts w:ascii="Verdana" w:hAnsi="Verdana"/>
          <w:sz w:val="20"/>
          <w:szCs w:val="20"/>
          <w:lang w:val="es-ES"/>
        </w:rPr>
        <w:t> </w:t>
      </w:r>
      <w:r w:rsidRPr="006B66E8">
        <w:rPr>
          <w:rFonts w:ascii="Verdana" w:hAnsi="Verdana"/>
          <w:sz w:val="20"/>
          <w:szCs w:val="20"/>
          <w:lang w:val="es-ES"/>
        </w:rPr>
        <w:t>675-1</w:t>
      </w:r>
      <w:r w:rsidR="006275BD" w:rsidRPr="006B66E8">
        <w:rPr>
          <w:rFonts w:ascii="Verdana" w:hAnsi="Verdana"/>
          <w:sz w:val="20"/>
          <w:szCs w:val="20"/>
          <w:lang w:val="es-ES"/>
        </w:rPr>
        <w:t> </w:t>
      </w:r>
      <w:r w:rsidRPr="006B66E8">
        <w:rPr>
          <w:rFonts w:ascii="Verdana" w:hAnsi="Verdana"/>
          <w:sz w:val="20"/>
          <w:szCs w:val="20"/>
          <w:lang w:val="es-ES"/>
        </w:rPr>
        <w:t>710</w:t>
      </w:r>
      <w:r w:rsidR="006275BD" w:rsidRPr="006B66E8">
        <w:rPr>
          <w:rFonts w:ascii="Verdana" w:hAnsi="Verdana"/>
          <w:sz w:val="20"/>
          <w:szCs w:val="20"/>
          <w:lang w:val="es-ES"/>
        </w:rPr>
        <w:t> </w:t>
      </w:r>
      <w:r w:rsidRPr="006B66E8">
        <w:rPr>
          <w:rFonts w:ascii="Verdana" w:hAnsi="Verdana"/>
          <w:sz w:val="20"/>
          <w:szCs w:val="20"/>
          <w:lang w:val="es-ES"/>
        </w:rPr>
        <w:t>MHz) es indispensable para los sistemas y redes satelitales en órbita geoestacionaria y no geoestacionaria del MetSat ya existentes o cuyo desarrollo está en curso, así como también para las futuras constelaciones de pequeños satélites del MetSat. Por consiguiente, es importante preservar la disponibilidad y la protección a largo plazo de la banda de frecuencias de 1</w:t>
      </w:r>
      <w:r w:rsidR="00F8638C" w:rsidRPr="006B66E8">
        <w:rPr>
          <w:rFonts w:ascii="Verdana" w:hAnsi="Verdana"/>
          <w:sz w:val="20"/>
          <w:szCs w:val="20"/>
          <w:lang w:val="es-ES"/>
        </w:rPr>
        <w:t> </w:t>
      </w:r>
      <w:r w:rsidRPr="006B66E8">
        <w:rPr>
          <w:rFonts w:ascii="Verdana" w:hAnsi="Verdana"/>
          <w:sz w:val="20"/>
          <w:szCs w:val="20"/>
          <w:lang w:val="es-ES"/>
        </w:rPr>
        <w:t>675</w:t>
      </w:r>
      <w:r w:rsidR="00F8638C" w:rsidRPr="006B66E8">
        <w:rPr>
          <w:rFonts w:ascii="Verdana" w:hAnsi="Verdana"/>
          <w:sz w:val="20"/>
          <w:szCs w:val="20"/>
          <w:lang w:val="es-ES"/>
        </w:rPr>
        <w:noBreakHyphen/>
      </w:r>
      <w:r w:rsidRPr="006B66E8">
        <w:rPr>
          <w:rFonts w:ascii="Verdana" w:hAnsi="Verdana"/>
          <w:sz w:val="20"/>
          <w:szCs w:val="20"/>
          <w:lang w:val="es-ES"/>
        </w:rPr>
        <w:t>1</w:t>
      </w:r>
      <w:r w:rsidR="00F8638C" w:rsidRPr="006B66E8">
        <w:rPr>
          <w:rFonts w:ascii="Verdana" w:hAnsi="Verdana"/>
          <w:sz w:val="20"/>
          <w:szCs w:val="20"/>
          <w:lang w:val="es-ES"/>
        </w:rPr>
        <w:t> </w:t>
      </w:r>
      <w:r w:rsidRPr="006B66E8">
        <w:rPr>
          <w:rFonts w:ascii="Verdana" w:hAnsi="Verdana"/>
          <w:sz w:val="20"/>
          <w:szCs w:val="20"/>
          <w:lang w:val="es-ES"/>
        </w:rPr>
        <w:t>710 MHz para su uso por parte del MetSat.</w:t>
      </w:r>
    </w:p>
    <w:p w14:paraId="114B2419" w14:textId="77777777" w:rsidR="008907B5" w:rsidRPr="006B66E8" w:rsidRDefault="008907B5" w:rsidP="008907B5">
      <w:pPr>
        <w:pStyle w:val="ListParagraph"/>
        <w:spacing w:before="240" w:after="240"/>
        <w:ind w:right="-170"/>
        <w:jc w:val="left"/>
        <w:rPr>
          <w:rFonts w:ascii="Verdana" w:hAnsi="Verdana"/>
          <w:sz w:val="20"/>
          <w:szCs w:val="20"/>
          <w:lang w:val="es-ES"/>
        </w:rPr>
      </w:pPr>
      <w:r w:rsidRPr="006B66E8">
        <w:rPr>
          <w:rFonts w:ascii="Verdana" w:hAnsi="Verdana"/>
          <w:sz w:val="20"/>
          <w:szCs w:val="20"/>
          <w:lang w:val="es-ES"/>
        </w:rPr>
        <w:t>Asimismo, dado que los sistemas satelitales del SETS/MetSat utilizan la banda de 2</w:t>
      </w:r>
      <w:r w:rsidR="00F8638C" w:rsidRPr="006B66E8">
        <w:rPr>
          <w:rFonts w:ascii="Verdana" w:hAnsi="Verdana"/>
          <w:sz w:val="20"/>
          <w:szCs w:val="20"/>
          <w:lang w:val="es-ES"/>
        </w:rPr>
        <w:t> </w:t>
      </w:r>
      <w:r w:rsidRPr="006B66E8">
        <w:rPr>
          <w:rFonts w:ascii="Verdana" w:hAnsi="Verdana"/>
          <w:sz w:val="20"/>
          <w:szCs w:val="20"/>
          <w:lang w:val="es-ES"/>
        </w:rPr>
        <w:t>025</w:t>
      </w:r>
      <w:r w:rsidR="00F8638C" w:rsidRPr="006B66E8">
        <w:rPr>
          <w:rFonts w:ascii="Verdana" w:hAnsi="Verdana"/>
          <w:sz w:val="20"/>
          <w:szCs w:val="20"/>
          <w:lang w:val="es-ES"/>
        </w:rPr>
        <w:noBreakHyphen/>
      </w:r>
      <w:r w:rsidRPr="006B66E8">
        <w:rPr>
          <w:rFonts w:ascii="Verdana" w:hAnsi="Verdana"/>
          <w:sz w:val="20"/>
          <w:szCs w:val="20"/>
          <w:lang w:val="es-ES"/>
        </w:rPr>
        <w:t>2</w:t>
      </w:r>
      <w:r w:rsidR="00F8638C" w:rsidRPr="006B66E8">
        <w:rPr>
          <w:rFonts w:ascii="Verdana" w:hAnsi="Verdana"/>
          <w:sz w:val="20"/>
          <w:szCs w:val="20"/>
          <w:lang w:val="es-ES"/>
        </w:rPr>
        <w:t> </w:t>
      </w:r>
      <w:r w:rsidRPr="006B66E8">
        <w:rPr>
          <w:rFonts w:ascii="Verdana" w:hAnsi="Verdana"/>
          <w:sz w:val="20"/>
          <w:szCs w:val="20"/>
          <w:lang w:val="es-ES"/>
        </w:rPr>
        <w:t>110</w:t>
      </w:r>
      <w:r w:rsidR="00F8638C" w:rsidRPr="006B66E8">
        <w:rPr>
          <w:rFonts w:ascii="Verdana" w:hAnsi="Verdana"/>
          <w:sz w:val="20"/>
          <w:szCs w:val="20"/>
          <w:lang w:val="es-ES"/>
        </w:rPr>
        <w:t> </w:t>
      </w:r>
      <w:r w:rsidRPr="006B66E8">
        <w:rPr>
          <w:rFonts w:ascii="Verdana" w:hAnsi="Verdana"/>
          <w:sz w:val="20"/>
          <w:szCs w:val="20"/>
          <w:lang w:val="es-ES"/>
        </w:rPr>
        <w:t>MHz para operaciones de telemando y para el enlace ascendente de datos de los instrumentos, la OMM manifiesta su inquietud en cuanto a la protección de las atribuciones del SETS/</w:t>
      </w:r>
      <w:r w:rsidR="00A0767F" w:rsidRPr="006B66E8">
        <w:rPr>
          <w:rFonts w:ascii="Verdana" w:hAnsi="Verdana"/>
          <w:sz w:val="20"/>
          <w:szCs w:val="20"/>
          <w:lang w:val="es-ES"/>
        </w:rPr>
        <w:t xml:space="preserve">SOE </w:t>
      </w:r>
      <w:r w:rsidRPr="006B66E8">
        <w:rPr>
          <w:rFonts w:ascii="Verdana" w:hAnsi="Verdana"/>
          <w:sz w:val="20"/>
          <w:szCs w:val="20"/>
          <w:lang w:val="es-ES"/>
        </w:rPr>
        <w:t xml:space="preserve">en la banda de frecuencias de 2 025-2 110 MHz. </w:t>
      </w:r>
    </w:p>
    <w:p w14:paraId="114B241A"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El Grupo de Trabajo 4C es el encargado de los estudios, mientras que el Grupo de Trabajo 7B contribuye </w:t>
      </w:r>
      <w:r w:rsidR="00036A9B" w:rsidRPr="006B66E8">
        <w:rPr>
          <w:rFonts w:ascii="Verdana" w:hAnsi="Verdana"/>
          <w:sz w:val="20"/>
          <w:szCs w:val="20"/>
          <w:lang w:val="es-ES"/>
        </w:rPr>
        <w:t xml:space="preserve">a ellos </w:t>
      </w:r>
      <w:r w:rsidRPr="006B66E8">
        <w:rPr>
          <w:rFonts w:ascii="Verdana" w:hAnsi="Verdana"/>
          <w:sz w:val="20"/>
          <w:szCs w:val="20"/>
          <w:lang w:val="es-ES"/>
        </w:rPr>
        <w:t>en lo concerniente al SETS/MetSat</w:t>
      </w:r>
      <w:r w:rsidR="00681435" w:rsidRPr="006B66E8">
        <w:rPr>
          <w:rFonts w:ascii="Verdana" w:hAnsi="Verdana"/>
          <w:sz w:val="20"/>
          <w:szCs w:val="20"/>
          <w:lang w:val="es-ES"/>
        </w:rPr>
        <w:t>,</w:t>
      </w:r>
      <w:r w:rsidRPr="006B66E8">
        <w:rPr>
          <w:rFonts w:ascii="Verdana" w:hAnsi="Verdana"/>
          <w:sz w:val="20"/>
          <w:szCs w:val="20"/>
          <w:lang w:val="es-ES"/>
        </w:rPr>
        <w:t xml:space="preserve"> y el Grupo de Trabajo 7C</w:t>
      </w:r>
      <w:r w:rsidR="00681435" w:rsidRPr="006B66E8">
        <w:rPr>
          <w:rFonts w:ascii="Verdana" w:hAnsi="Verdana"/>
          <w:sz w:val="20"/>
          <w:szCs w:val="20"/>
          <w:lang w:val="es-ES"/>
        </w:rPr>
        <w:t>,</w:t>
      </w:r>
      <w:r w:rsidRPr="006B66E8">
        <w:rPr>
          <w:rFonts w:ascii="Verdana" w:hAnsi="Verdana"/>
          <w:sz w:val="20"/>
          <w:szCs w:val="20"/>
          <w:lang w:val="es-ES"/>
        </w:rPr>
        <w:t xml:space="preserve"> en lo concerniente al servicio de ayudas a la meteorología (MetAids) en la banda de frecuencias de 1 668,4-1 700 MHz.</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41F" w14:textId="77777777" w:rsidTr="008907B5">
        <w:trPr>
          <w:trHeight w:val="1828"/>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41B"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lastRenderedPageBreak/>
              <w:t>Posición de la Organización Meteorológica Mundial respecto al punto 1.18 del orden del día de la Conferencia Mundial de Radiocomunicaciones de 2023</w:t>
            </w:r>
          </w:p>
          <w:p w14:paraId="114B241C"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no apoya ninguna modificación del Reglamento de Radiocomunicaciones en el marco de este punto del orden del día de la Conferencia Mundial de Radiocomunicaciones de 2023 debido a la ausencia de estudios del UIT-R que aborden la protección de los aspectos siguientes:</w:t>
            </w:r>
          </w:p>
          <w:p w14:paraId="114B241D" w14:textId="77777777" w:rsidR="00F8638C" w:rsidRPr="006B66E8" w:rsidRDefault="008907B5" w:rsidP="00F8638C">
            <w:pPr>
              <w:pStyle w:val="Paragraph"/>
              <w:numPr>
                <w:ilvl w:val="0"/>
                <w:numId w:val="5"/>
              </w:numPr>
              <w:spacing w:before="240" w:after="240"/>
              <w:ind w:left="595" w:hanging="567"/>
              <w:jc w:val="left"/>
              <w:rPr>
                <w:rFonts w:ascii="Verdana" w:hAnsi="Verdana"/>
                <w:sz w:val="20"/>
                <w:szCs w:val="20"/>
                <w:lang w:val="es-ES"/>
              </w:rPr>
            </w:pPr>
            <w:r w:rsidRPr="006B66E8">
              <w:rPr>
                <w:rFonts w:ascii="Verdana" w:hAnsi="Verdana"/>
                <w:sz w:val="20"/>
                <w:szCs w:val="20"/>
                <w:lang w:val="es-ES"/>
              </w:rPr>
              <w:t>Las operaciones actuales y futuras del MetSat en la banda de frecuencias de 1</w:t>
            </w:r>
            <w:r w:rsidR="00F8638C" w:rsidRPr="006B66E8">
              <w:rPr>
                <w:rFonts w:ascii="Verdana" w:hAnsi="Verdana"/>
                <w:sz w:val="20"/>
                <w:szCs w:val="20"/>
                <w:lang w:val="es-ES"/>
              </w:rPr>
              <w:t> </w:t>
            </w:r>
            <w:r w:rsidRPr="006B66E8">
              <w:rPr>
                <w:rFonts w:ascii="Verdana" w:hAnsi="Verdana"/>
                <w:sz w:val="20"/>
                <w:szCs w:val="20"/>
                <w:lang w:val="es-ES"/>
              </w:rPr>
              <w:t>695</w:t>
            </w:r>
            <w:r w:rsidR="00F8638C" w:rsidRPr="006B66E8">
              <w:rPr>
                <w:rFonts w:ascii="Verdana" w:hAnsi="Verdana"/>
                <w:sz w:val="20"/>
                <w:szCs w:val="20"/>
                <w:lang w:val="es-ES"/>
              </w:rPr>
              <w:noBreakHyphen/>
            </w:r>
            <w:r w:rsidRPr="006B66E8">
              <w:rPr>
                <w:rFonts w:ascii="Verdana" w:hAnsi="Verdana"/>
                <w:sz w:val="20"/>
                <w:szCs w:val="20"/>
                <w:lang w:val="es-ES"/>
              </w:rPr>
              <w:t>1</w:t>
            </w:r>
            <w:r w:rsidR="00F8638C" w:rsidRPr="006B66E8">
              <w:rPr>
                <w:rFonts w:ascii="Verdana" w:hAnsi="Verdana"/>
                <w:sz w:val="20"/>
                <w:szCs w:val="20"/>
                <w:lang w:val="es-ES"/>
              </w:rPr>
              <w:t> </w:t>
            </w:r>
            <w:r w:rsidR="00681435" w:rsidRPr="006B66E8">
              <w:rPr>
                <w:rFonts w:ascii="Verdana" w:hAnsi="Verdana"/>
                <w:sz w:val="20"/>
                <w:szCs w:val="20"/>
                <w:lang w:val="es-ES"/>
              </w:rPr>
              <w:t>710 </w:t>
            </w:r>
            <w:r w:rsidRPr="006B66E8">
              <w:rPr>
                <w:rFonts w:ascii="Verdana" w:hAnsi="Verdana"/>
                <w:sz w:val="20"/>
                <w:szCs w:val="20"/>
                <w:lang w:val="es-ES"/>
              </w:rPr>
              <w:t xml:space="preserve">MHz y en la banda adyacente de 1 670-1 695 MHz frente a los sistemas del SMS de banda estrecha. Es importante garantizar la protección del enlace descendente de los datos medidos, así como </w:t>
            </w:r>
            <w:r w:rsidR="00681435" w:rsidRPr="006B66E8">
              <w:rPr>
                <w:rFonts w:ascii="Verdana" w:hAnsi="Verdana"/>
                <w:sz w:val="20"/>
                <w:szCs w:val="20"/>
                <w:lang w:val="es-ES"/>
              </w:rPr>
              <w:t xml:space="preserve">de </w:t>
            </w:r>
            <w:r w:rsidRPr="006B66E8">
              <w:rPr>
                <w:rFonts w:ascii="Verdana" w:hAnsi="Verdana"/>
                <w:sz w:val="20"/>
                <w:szCs w:val="20"/>
                <w:lang w:val="es-ES"/>
              </w:rPr>
              <w:t>la difusión mundial de los datos directamente a los usuarios.</w:t>
            </w:r>
          </w:p>
          <w:p w14:paraId="114B241E" w14:textId="77777777" w:rsidR="008907B5" w:rsidRPr="006B66E8" w:rsidRDefault="008907B5" w:rsidP="00F8638C">
            <w:pPr>
              <w:pStyle w:val="Paragraph"/>
              <w:numPr>
                <w:ilvl w:val="0"/>
                <w:numId w:val="5"/>
              </w:numPr>
              <w:spacing w:before="240" w:after="240"/>
              <w:ind w:left="595" w:hanging="567"/>
              <w:jc w:val="left"/>
              <w:rPr>
                <w:rFonts w:ascii="Verdana" w:hAnsi="Verdana"/>
                <w:sz w:val="20"/>
                <w:szCs w:val="20"/>
                <w:lang w:val="es-ES"/>
              </w:rPr>
            </w:pPr>
            <w:r w:rsidRPr="006B66E8">
              <w:rPr>
                <w:rFonts w:ascii="Verdana" w:hAnsi="Verdana"/>
                <w:sz w:val="20"/>
                <w:szCs w:val="20"/>
                <w:lang w:val="es-ES"/>
              </w:rPr>
              <w:t xml:space="preserve">El SETS y el </w:t>
            </w:r>
            <w:r w:rsidR="00A0767F" w:rsidRPr="006B66E8">
              <w:rPr>
                <w:rFonts w:ascii="Verdana" w:hAnsi="Verdana"/>
                <w:sz w:val="20"/>
                <w:szCs w:val="20"/>
                <w:lang w:val="es-ES"/>
              </w:rPr>
              <w:t xml:space="preserve">SOE </w:t>
            </w:r>
            <w:r w:rsidRPr="006B66E8">
              <w:rPr>
                <w:rFonts w:ascii="Verdana" w:hAnsi="Verdana"/>
                <w:sz w:val="20"/>
                <w:szCs w:val="20"/>
                <w:lang w:val="es-ES"/>
              </w:rPr>
              <w:t>en la banda de frecuencias adyacente de 2</w:t>
            </w:r>
            <w:r w:rsidR="00F8638C" w:rsidRPr="006B66E8">
              <w:rPr>
                <w:rFonts w:ascii="Verdana" w:hAnsi="Verdana"/>
                <w:sz w:val="20"/>
                <w:szCs w:val="20"/>
                <w:lang w:val="es-ES"/>
              </w:rPr>
              <w:t> </w:t>
            </w:r>
            <w:r w:rsidRPr="006B66E8">
              <w:rPr>
                <w:rFonts w:ascii="Verdana" w:hAnsi="Verdana"/>
                <w:sz w:val="20"/>
                <w:szCs w:val="20"/>
                <w:lang w:val="es-ES"/>
              </w:rPr>
              <w:t>025-2 110 MHz.</w:t>
            </w:r>
          </w:p>
        </w:tc>
      </w:tr>
    </w:tbl>
    <w:p w14:paraId="114B2420" w14:textId="77777777" w:rsidR="008907B5" w:rsidRPr="006B66E8" w:rsidRDefault="008907B5" w:rsidP="008907B5">
      <w:pPr>
        <w:pStyle w:val="Heading3"/>
        <w:spacing w:before="240" w:after="240"/>
        <w:rPr>
          <w:lang w:val="es-ES"/>
        </w:rPr>
      </w:pPr>
      <w:r w:rsidRPr="006B66E8">
        <w:rPr>
          <w:lang w:val="es-ES"/>
        </w:rPr>
        <w:t>3.14</w:t>
      </w:r>
      <w:r w:rsidRPr="006B66E8">
        <w:rPr>
          <w:lang w:val="es-ES"/>
        </w:rPr>
        <w:tab/>
        <w:t>Punto 4 del orden del día</w:t>
      </w:r>
    </w:p>
    <w:p w14:paraId="114B2421" w14:textId="77777777" w:rsidR="008907B5" w:rsidRPr="006B66E8" w:rsidRDefault="008907B5" w:rsidP="008907B5">
      <w:pPr>
        <w:spacing w:before="240" w:after="240"/>
        <w:ind w:right="-170"/>
        <w:jc w:val="left"/>
        <w:rPr>
          <w:i/>
          <w:iCs/>
          <w:lang w:val="es-ES"/>
        </w:rPr>
      </w:pPr>
      <w:r w:rsidRPr="006B66E8">
        <w:rPr>
          <w:i/>
          <w:iCs/>
          <w:lang w:val="es-ES"/>
        </w:rPr>
        <w:t xml:space="preserve">“de conformidad con la Resolución </w:t>
      </w:r>
      <w:r w:rsidRPr="006B66E8">
        <w:rPr>
          <w:b/>
          <w:bCs/>
          <w:i/>
          <w:iCs/>
          <w:lang w:val="es-ES"/>
        </w:rPr>
        <w:t>95 (Rev.CMR-19)</w:t>
      </w:r>
      <w:r w:rsidRPr="006B66E8">
        <w:rPr>
          <w:i/>
          <w:iCs/>
          <w:lang w:val="es-ES"/>
        </w:rPr>
        <w:t>, considerar las Resoluciones y Recomendaciones de las conferencias anteriores para su posible revisión, sustitución o supresión”.</w:t>
      </w:r>
    </w:p>
    <w:p w14:paraId="114B2422" w14:textId="77777777" w:rsidR="008907B5" w:rsidRPr="006B66E8" w:rsidRDefault="008907B5" w:rsidP="008907B5">
      <w:pPr>
        <w:spacing w:before="240" w:after="240"/>
        <w:jc w:val="left"/>
        <w:rPr>
          <w:lang w:val="es-ES"/>
        </w:rPr>
      </w:pPr>
      <w:r w:rsidRPr="006B66E8">
        <w:rPr>
          <w:lang w:val="es-ES"/>
        </w:rPr>
        <w:t xml:space="preserve">Tal y como se especifica en el anexo 1 al presente documento, la OMM manifiesta su inquietud por la Resolución </w:t>
      </w:r>
      <w:r w:rsidRPr="006B66E8">
        <w:rPr>
          <w:b/>
          <w:bCs/>
          <w:lang w:val="es-ES"/>
        </w:rPr>
        <w:t>731 (Rev.CMR-19)</w:t>
      </w:r>
      <w:r w:rsidRPr="006B66E8">
        <w:rPr>
          <w:lang w:val="es-ES"/>
        </w:rPr>
        <w:t>, ya que esta resolución de la Conferencia Mundial de Radiocomunicaciones podría afectar a una serie de bandas de frecuencias por encima de 71</w:t>
      </w:r>
      <w:r w:rsidR="00F8638C" w:rsidRPr="006B66E8">
        <w:rPr>
          <w:lang w:val="es-ES"/>
        </w:rPr>
        <w:t> </w:t>
      </w:r>
      <w:r w:rsidRPr="006B66E8">
        <w:rPr>
          <w:lang w:val="es-ES"/>
        </w:rPr>
        <w:t>GHz que son esenciales para la comunidad meteorológica.</w:t>
      </w:r>
    </w:p>
    <w:p w14:paraId="114B2423" w14:textId="77777777" w:rsidR="008907B5" w:rsidRPr="006B66E8" w:rsidRDefault="008907B5" w:rsidP="008907B5">
      <w:pPr>
        <w:spacing w:before="240" w:after="240"/>
        <w:ind w:right="-170"/>
        <w:jc w:val="left"/>
        <w:rPr>
          <w:lang w:val="es-ES"/>
        </w:rPr>
      </w:pPr>
      <w:r w:rsidRPr="006B66E8">
        <w:rPr>
          <w:lang w:val="es-ES"/>
        </w:rPr>
        <w:t xml:space="preserve">En el seno de los Grupos de Trabajo 7C y 7D del UIT-R se han iniciado debates que ponen de manifiesto algunas interpretaciones diferentes de las actividades 1 y 2 que, en virtud de la Resolución </w:t>
      </w:r>
      <w:r w:rsidRPr="006B66E8">
        <w:rPr>
          <w:b/>
          <w:lang w:val="es-ES"/>
        </w:rPr>
        <w:t>731 (Rev.CMR-19)</w:t>
      </w:r>
      <w:r w:rsidRPr="006B66E8">
        <w:rPr>
          <w:lang w:val="es-ES"/>
        </w:rPr>
        <w:t>, se invita al UIT-R a realizar (puntos 1 y 2 del apartado "invita al Sector de Radiocomunicaciones de la UIT").</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426" w14:textId="77777777" w:rsidTr="008907B5">
        <w:trPr>
          <w:trHeight w:val="1259"/>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424"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4 del orden del día de la Conferencia Mundial de Radiocomunicaciones de 2023</w:t>
            </w:r>
          </w:p>
          <w:p w14:paraId="114B2425" w14:textId="77777777" w:rsidR="008907B5" w:rsidRPr="006B66E8" w:rsidRDefault="008907B5">
            <w:pPr>
              <w:spacing w:before="240" w:after="240"/>
              <w:ind w:right="-170"/>
              <w:jc w:val="left"/>
              <w:rPr>
                <w:lang w:val="es-ES"/>
              </w:rPr>
            </w:pPr>
            <w:r w:rsidRPr="006B66E8">
              <w:rPr>
                <w:lang w:val="es-ES"/>
              </w:rPr>
              <w:t xml:space="preserve">En lo que respecta a la Resolución </w:t>
            </w:r>
            <w:r w:rsidRPr="006B66E8">
              <w:rPr>
                <w:b/>
                <w:bCs/>
                <w:lang w:val="es-ES"/>
              </w:rPr>
              <w:t>731 (Rev.CMR-19)</w:t>
            </w:r>
            <w:r w:rsidRPr="006B66E8">
              <w:rPr>
                <w:lang w:val="es-ES"/>
              </w:rPr>
              <w:t xml:space="preserve">, la OMM apoya considerar, en el marco de este punto del orden del día, una revisión de esta resolución de la Conferencia Mundial de Radiocomunicaciones para precisar que los estudios sobre la compartición en banda no pueden realizarse en las bandas señaladas en la </w:t>
            </w:r>
            <w:r w:rsidRPr="006B66E8">
              <w:rPr>
                <w:b/>
                <w:bCs/>
                <w:lang w:val="es-ES"/>
              </w:rPr>
              <w:t xml:space="preserve">nota 5.340 </w:t>
            </w:r>
            <w:r w:rsidRPr="006B66E8">
              <w:rPr>
                <w:lang w:val="es-ES"/>
              </w:rPr>
              <w:t>del Reglamento de Radiocomunicaciones.</w:t>
            </w:r>
          </w:p>
        </w:tc>
      </w:tr>
    </w:tbl>
    <w:p w14:paraId="114B2427" w14:textId="77777777" w:rsidR="008907B5" w:rsidRPr="006B66E8" w:rsidRDefault="008907B5" w:rsidP="008907B5">
      <w:pPr>
        <w:pStyle w:val="Heading3"/>
        <w:spacing w:before="240" w:after="240"/>
        <w:rPr>
          <w:lang w:val="es-ES"/>
        </w:rPr>
      </w:pPr>
      <w:r w:rsidRPr="006B66E8">
        <w:rPr>
          <w:lang w:val="es-ES"/>
        </w:rPr>
        <w:t>3.15</w:t>
      </w:r>
      <w:r w:rsidRPr="006B66E8">
        <w:rPr>
          <w:lang w:val="es-ES"/>
        </w:rPr>
        <w:tab/>
        <w:t>Punto 7 del orden del día</w:t>
      </w:r>
    </w:p>
    <w:p w14:paraId="114B2428" w14:textId="77777777" w:rsidR="008907B5" w:rsidRPr="006B66E8" w:rsidRDefault="008907B5" w:rsidP="008907B5">
      <w:pPr>
        <w:spacing w:before="240" w:after="240"/>
        <w:jc w:val="left"/>
        <w:rPr>
          <w:lang w:val="es-ES"/>
        </w:rPr>
      </w:pPr>
      <w:r w:rsidRPr="006B66E8">
        <w:rPr>
          <w:i/>
          <w:iCs/>
          <w:lang w:val="es-ES"/>
        </w:rPr>
        <w:t xml:space="preserve">“considerar posibles modificaciones para responder a lo dispuesto en la Resolución </w:t>
      </w:r>
      <w:r w:rsidRPr="006B66E8">
        <w:rPr>
          <w:b/>
          <w:bCs/>
          <w:i/>
          <w:iCs/>
          <w:lang w:val="es-ES"/>
        </w:rPr>
        <w:t xml:space="preserve">86 </w:t>
      </w:r>
      <w:r w:rsidR="00681435" w:rsidRPr="006B66E8">
        <w:rPr>
          <w:b/>
          <w:bCs/>
          <w:i/>
          <w:iCs/>
          <w:lang w:val="es-ES"/>
        </w:rPr>
        <w:br/>
      </w:r>
      <w:r w:rsidRPr="006B66E8">
        <w:rPr>
          <w:b/>
          <w:bCs/>
          <w:i/>
          <w:iCs/>
          <w:lang w:val="es-ES"/>
        </w:rPr>
        <w:t>(Rev.</w:t>
      </w:r>
      <w:r w:rsidR="00681435" w:rsidRPr="006B66E8">
        <w:rPr>
          <w:b/>
          <w:bCs/>
          <w:i/>
          <w:iCs/>
          <w:lang w:val="es-ES"/>
        </w:rPr>
        <w:t xml:space="preserve"> </w:t>
      </w:r>
      <w:r w:rsidRPr="006B66E8">
        <w:rPr>
          <w:b/>
          <w:bCs/>
          <w:i/>
          <w:iCs/>
          <w:lang w:val="es-ES"/>
        </w:rPr>
        <w:t>Marrakech, 2002)</w:t>
      </w:r>
      <w:r w:rsidRPr="006B66E8">
        <w:rPr>
          <w:i/>
          <w:iCs/>
          <w:lang w:val="es-ES"/>
        </w:rPr>
        <w:t xml:space="preserve"> de la Conferencia de Plenipotenciarios: «Procedimientos de publicación anticipada, de coordinación, de notificación y de inscripción de asignaciones de frecuencias de redes de satélite» de conformidad con la Resolución </w:t>
      </w:r>
      <w:r w:rsidRPr="006B66E8">
        <w:rPr>
          <w:b/>
          <w:bCs/>
          <w:i/>
          <w:iCs/>
          <w:lang w:val="es-ES"/>
        </w:rPr>
        <w:t>86 (Rev.CMR-07)</w:t>
      </w:r>
      <w:r w:rsidRPr="006B66E8">
        <w:rPr>
          <w:i/>
          <w:iCs/>
          <w:lang w:val="es-ES"/>
        </w:rPr>
        <w:t>, para facilitar el uso racional, eficiente y económico de las radiofrecuencias y órbitas asociadas, incluida la órbita de los satélites geoestacionarios”.</w:t>
      </w:r>
    </w:p>
    <w:p w14:paraId="114B2429" w14:textId="77777777" w:rsidR="007A39EC" w:rsidRPr="006B66E8" w:rsidRDefault="007A39EC"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br w:type="page"/>
      </w:r>
    </w:p>
    <w:p w14:paraId="114B242A"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sz w:val="20"/>
          <w:szCs w:val="20"/>
          <w:lang w:val="es-ES"/>
        </w:rPr>
        <w:lastRenderedPageBreak/>
        <w:t>En el marco de este punto permanente del orden del día se abordan las posibles modificaciones del Reglamento de Radiocomunicaciones en relación con la publicación anticipada, coordinación, notificación e inscripción de redes de satélite. Se trata, pues, de un punto que precisa del examen de la OMM. A continuación figura la lista completa de los temas del punto 7 del orden del día:</w:t>
      </w:r>
    </w:p>
    <w:p w14:paraId="114B242B"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A</w:t>
      </w:r>
      <w:r w:rsidRPr="006B66E8">
        <w:rPr>
          <w:rFonts w:ascii="Verdana" w:hAnsi="Verdana"/>
          <w:sz w:val="20"/>
          <w:szCs w:val="20"/>
          <w:lang w:val="es-ES"/>
        </w:rPr>
        <w:t>: Tolerancias para las características orbitales de los satélites no geoestacionarios del SFS, el servicio de radiodifusión por satélite (SRS) y el SMS</w:t>
      </w:r>
    </w:p>
    <w:p w14:paraId="114B242C"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B</w:t>
      </w:r>
      <w:r w:rsidRPr="006B66E8">
        <w:rPr>
          <w:rFonts w:ascii="Verdana" w:hAnsi="Verdana"/>
          <w:sz w:val="20"/>
          <w:szCs w:val="20"/>
          <w:lang w:val="es-ES"/>
        </w:rPr>
        <w:t>: Procedimiento posterior al hito de la puesta en servicio de satélites en órbita no geoestacionaria</w:t>
      </w:r>
    </w:p>
    <w:p w14:paraId="114B242D"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C</w:t>
      </w:r>
      <w:r w:rsidRPr="006B66E8">
        <w:rPr>
          <w:rFonts w:ascii="Verdana" w:hAnsi="Verdana"/>
          <w:sz w:val="20"/>
          <w:szCs w:val="20"/>
          <w:lang w:val="es-ES"/>
        </w:rPr>
        <w:t>: Protección de los satélites del SMS en órbita geoestacionaria frente a las emisiones de los satélites en órbita no geoestacionaria en 7/8 y 20/30 GHz</w:t>
      </w:r>
    </w:p>
    <w:p w14:paraId="114B242E"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D1</w:t>
      </w:r>
      <w:r w:rsidRPr="006B66E8">
        <w:rPr>
          <w:rFonts w:ascii="Verdana" w:hAnsi="Verdana"/>
          <w:sz w:val="20"/>
          <w:szCs w:val="20"/>
          <w:lang w:val="es-ES"/>
        </w:rPr>
        <w:t>: Introducción de modificaciones en el apéndice 1 al anexo 4 al apéndice 30B</w:t>
      </w:r>
    </w:p>
    <w:p w14:paraId="114B242F"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D2</w:t>
      </w:r>
      <w:r w:rsidRPr="006B66E8">
        <w:rPr>
          <w:rFonts w:ascii="Verdana" w:hAnsi="Verdana"/>
          <w:sz w:val="20"/>
          <w:szCs w:val="20"/>
          <w:lang w:val="es-ES"/>
        </w:rPr>
        <w:t>: Nuevos parámetros del apéndice 4 para las actu</w:t>
      </w:r>
      <w:r w:rsidR="00276264" w:rsidRPr="006B66E8">
        <w:rPr>
          <w:rFonts w:ascii="Verdana" w:hAnsi="Verdana"/>
          <w:sz w:val="20"/>
          <w:szCs w:val="20"/>
          <w:lang w:val="es-ES"/>
        </w:rPr>
        <w:t>alizaciones de la Recomendación </w:t>
      </w:r>
      <w:r w:rsidRPr="006B66E8">
        <w:rPr>
          <w:rFonts w:ascii="Verdana" w:hAnsi="Verdana"/>
          <w:sz w:val="20"/>
          <w:szCs w:val="20"/>
          <w:lang w:val="es-ES"/>
        </w:rPr>
        <w:t>S.1503</w:t>
      </w:r>
    </w:p>
    <w:p w14:paraId="114B2430"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D3</w:t>
      </w:r>
      <w:r w:rsidRPr="006B66E8">
        <w:rPr>
          <w:rFonts w:ascii="Verdana" w:hAnsi="Verdana"/>
          <w:sz w:val="20"/>
          <w:szCs w:val="20"/>
          <w:lang w:val="es-ES"/>
        </w:rPr>
        <w:t>: Recordatorios de la Oficina de Radiocomunicaciones para la puesta en servicio y la reanudación del servicio</w:t>
      </w:r>
    </w:p>
    <w:p w14:paraId="114B2431"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E</w:t>
      </w:r>
      <w:r w:rsidRPr="006B66E8">
        <w:rPr>
          <w:rFonts w:ascii="Verdana" w:hAnsi="Verdana"/>
          <w:sz w:val="20"/>
          <w:szCs w:val="20"/>
          <w:lang w:val="es-ES"/>
        </w:rPr>
        <w:t>: Mejora de los procedimientos establecidos en virtud del apéndice 30B para los nuevos Estados Miembros de la UIT</w:t>
      </w:r>
    </w:p>
    <w:p w14:paraId="114B2432"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F</w:t>
      </w:r>
      <w:r w:rsidRPr="006B66E8">
        <w:rPr>
          <w:rFonts w:ascii="Verdana" w:hAnsi="Verdana"/>
          <w:sz w:val="20"/>
          <w:szCs w:val="20"/>
          <w:lang w:val="es-ES"/>
        </w:rPr>
        <w:t>: Incidencia de la exclusión del servicio de enlace de conexión/enlace ascendente y de las zonas de cobertura en las bandas sujetas a la aplicación del apéndice 30A y del apéndice</w:t>
      </w:r>
      <w:r w:rsidR="00DA6C8E" w:rsidRPr="006B66E8">
        <w:rPr>
          <w:rFonts w:ascii="Verdana" w:hAnsi="Verdana"/>
          <w:sz w:val="20"/>
          <w:szCs w:val="20"/>
          <w:lang w:val="es-ES"/>
        </w:rPr>
        <w:t> </w:t>
      </w:r>
      <w:r w:rsidRPr="006B66E8">
        <w:rPr>
          <w:rFonts w:ascii="Verdana" w:hAnsi="Verdana"/>
          <w:sz w:val="20"/>
          <w:szCs w:val="20"/>
          <w:lang w:val="es-ES"/>
        </w:rPr>
        <w:t>30B del Reglamento de Radiocomunicaciones</w:t>
      </w:r>
    </w:p>
    <w:p w14:paraId="114B2433"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G</w:t>
      </w:r>
      <w:r w:rsidRPr="006B66E8">
        <w:rPr>
          <w:rFonts w:ascii="Verdana" w:hAnsi="Verdana"/>
          <w:sz w:val="20"/>
          <w:szCs w:val="20"/>
          <w:lang w:val="es-ES"/>
        </w:rPr>
        <w:t>: Enmiendas a la Resolución 770 (CMR-19)</w:t>
      </w:r>
    </w:p>
    <w:p w14:paraId="114B2434"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H</w:t>
      </w:r>
      <w:r w:rsidRPr="006B66E8">
        <w:rPr>
          <w:rFonts w:ascii="Verdana" w:hAnsi="Verdana"/>
          <w:sz w:val="20"/>
          <w:szCs w:val="20"/>
          <w:lang w:val="es-ES"/>
        </w:rPr>
        <w:t>: Acuerdo implícito conforme a los apéndices 30, 30A y 30B del Reglamento de Radiocomunicaciones</w:t>
      </w:r>
    </w:p>
    <w:p w14:paraId="114B2435"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I</w:t>
      </w:r>
      <w:r w:rsidRPr="006B66E8">
        <w:rPr>
          <w:rFonts w:ascii="Verdana" w:hAnsi="Verdana"/>
          <w:sz w:val="20"/>
          <w:szCs w:val="20"/>
          <w:lang w:val="es-ES"/>
        </w:rPr>
        <w:t>: Acuerdos especiales de conformidad con el apéndice 30B del Reglamento de Radiocomunicaciones</w:t>
      </w:r>
    </w:p>
    <w:p w14:paraId="114B2436"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J</w:t>
      </w:r>
      <w:r w:rsidRPr="006B66E8">
        <w:rPr>
          <w:rFonts w:ascii="Verdana" w:hAnsi="Verdana"/>
          <w:sz w:val="20"/>
          <w:szCs w:val="20"/>
          <w:lang w:val="es-ES"/>
        </w:rPr>
        <w:t>: Modificaciones a la Resolución 76 (Rev.CMR-15)</w:t>
      </w:r>
    </w:p>
    <w:p w14:paraId="114B2437"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K</w:t>
      </w:r>
      <w:r w:rsidRPr="006B66E8">
        <w:rPr>
          <w:rFonts w:ascii="Verdana" w:hAnsi="Verdana"/>
          <w:sz w:val="20"/>
          <w:szCs w:val="20"/>
          <w:lang w:val="es-ES"/>
        </w:rPr>
        <w:t>: Modificaciones a la Resolución 553 (Rev.CMR-15)</w:t>
      </w:r>
    </w:p>
    <w:p w14:paraId="114B2438" w14:textId="77777777" w:rsidR="008907B5" w:rsidRPr="006B66E8" w:rsidRDefault="008907B5" w:rsidP="008907B5">
      <w:pPr>
        <w:pStyle w:val="ListParagraph"/>
        <w:spacing w:before="240" w:after="240"/>
        <w:jc w:val="left"/>
        <w:rPr>
          <w:rFonts w:ascii="Verdana" w:hAnsi="Verdana"/>
          <w:color w:val="000000" w:themeColor="text1"/>
          <w:sz w:val="20"/>
          <w:szCs w:val="20"/>
          <w:lang w:val="es-ES"/>
        </w:rPr>
      </w:pPr>
      <w:r w:rsidRPr="006B66E8">
        <w:rPr>
          <w:rFonts w:ascii="Verdana" w:hAnsi="Verdana"/>
          <w:b/>
          <w:bCs/>
          <w:sz w:val="20"/>
          <w:szCs w:val="20"/>
          <w:lang w:val="es-ES"/>
        </w:rPr>
        <w:t>Tema L</w:t>
      </w:r>
      <w:r w:rsidRPr="006B66E8">
        <w:rPr>
          <w:rFonts w:ascii="Verdana" w:hAnsi="Verdana"/>
          <w:sz w:val="20"/>
          <w:szCs w:val="20"/>
          <w:lang w:val="es-ES"/>
        </w:rPr>
        <w:t>: Seguimiento, telemedida y telemando (STT) para el servicio en órbita de los satélites no geoestacionarios</w:t>
      </w:r>
    </w:p>
    <w:p w14:paraId="114B2439"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El Grupo de Trabajo 4A es el encargado de la realización de los estudios indicados con anterioridad.</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43C" w14:textId="77777777" w:rsidTr="008907B5">
        <w:trPr>
          <w:trHeight w:val="216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43A"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lastRenderedPageBreak/>
              <w:t>Posición de la Organización Meteorológica Mundial respecto al punto 7 del orden del día de la Conferencia Mundial de Radiocomunicaciones de 2023</w:t>
            </w:r>
          </w:p>
          <w:p w14:paraId="114B243B"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no apoya la introducción de cambios en el Reglamento de Radiocomunicaciones que podrían imponer restricciones innecesarias a los sistemas del MetSat y del SETS o que podrían complicar en exceso los procedimientos reglamentarios para las correspondientes notificaciones a la UIT con respecto de las bandas de frecuencias utilizadas por esos sistemas. La OMM seguirá y supervisará la evolución de las cuestiones tratadas en el marco del punto 7 del orden del día a medida que se avance en su determinación y estudio.</w:t>
            </w:r>
          </w:p>
        </w:tc>
      </w:tr>
    </w:tbl>
    <w:p w14:paraId="114B243D" w14:textId="77777777" w:rsidR="008907B5" w:rsidRPr="006B66E8" w:rsidRDefault="008907B5" w:rsidP="008907B5">
      <w:pPr>
        <w:pStyle w:val="Heading3"/>
        <w:spacing w:before="240" w:after="240"/>
        <w:rPr>
          <w:lang w:val="es-ES"/>
        </w:rPr>
      </w:pPr>
      <w:r w:rsidRPr="006B66E8">
        <w:rPr>
          <w:lang w:val="es-ES"/>
        </w:rPr>
        <w:t>3.16</w:t>
      </w:r>
      <w:r w:rsidRPr="006B66E8">
        <w:rPr>
          <w:lang w:val="es-ES"/>
        </w:rPr>
        <w:tab/>
        <w:t>Punto 9.1 del orden del día, tema a)</w:t>
      </w:r>
    </w:p>
    <w:p w14:paraId="114B243E" w14:textId="77777777" w:rsidR="008907B5" w:rsidRPr="006B66E8" w:rsidRDefault="008907B5" w:rsidP="008907B5">
      <w:pPr>
        <w:spacing w:before="240" w:after="240"/>
        <w:jc w:val="left"/>
        <w:rPr>
          <w:lang w:val="es-ES"/>
        </w:rPr>
      </w:pPr>
      <w:r w:rsidRPr="006B66E8">
        <w:rPr>
          <w:i/>
          <w:iCs/>
          <w:lang w:val="es-ES"/>
        </w:rPr>
        <w:t>“examinar, de conformidad con la Resolución 657 (Rev.CMR-19), los resultados de los estudios relativos a las características técnicas y operativas, las necesidades de espectro y las adecuadas designaciones de servicio radioeléctrico para los sensores meteorológicos espaciales, con el fin de proporcionar el reconocimiento y protección adecuados en el Reglamento de Radiocomunicaciones, sin imponer restricciones adicionales a los servicios existentes”.</w:t>
      </w:r>
    </w:p>
    <w:p w14:paraId="114B243F"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En 2014, el UIT-R y la OMM emprendieron las labores encaminadas a determinar las necesidades en materia de espectro radioeléctrico de los sensores meteorológicos espaciales que utilizan ese espectro para la obtención de datos. La Conferencia Mundial de Radiocomunicaciones de 2015 inscribió un punto en el orden del día preliminar de la Conferencia Mundial de Radiocomunicaciones de 2023 en el que se pedía la introducción de cambios reglamentarios para proteger los sensores meteorológicos espaciales que hacen uso del espectro radioeléctrico. En la Conferencia Mundial de Radiocomunicaciones de 2019 se examinó la labor realizada sobre el particular, la cuestión se incluyó como tema del punto 9.1 del orden del día de la Conferencia Mundial de Radiocomunicaciones de 2023 y se inscribió un punto ulterior en el orden del día preliminar de la Conferencia Mundial de Radiocomunicaciones de 2027 centrado en la resolución de toda cuestión de reglamentación pendiente. </w:t>
      </w:r>
    </w:p>
    <w:p w14:paraId="114B2440"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Los sensores meteorológicos espaciales que hacen uso del espectro radioeléctrico </w:t>
      </w:r>
      <w:r w:rsidR="00EB14A5" w:rsidRPr="006B66E8">
        <w:rPr>
          <w:rFonts w:ascii="Verdana" w:hAnsi="Verdana"/>
          <w:sz w:val="20"/>
          <w:szCs w:val="20"/>
          <w:lang w:val="es-ES"/>
        </w:rPr>
        <w:t xml:space="preserve">actualmente </w:t>
      </w:r>
      <w:r w:rsidRPr="006B66E8">
        <w:rPr>
          <w:rFonts w:ascii="Verdana" w:hAnsi="Verdana"/>
          <w:sz w:val="20"/>
          <w:szCs w:val="20"/>
          <w:lang w:val="es-ES"/>
        </w:rPr>
        <w:t>no gozan de protección reglamentaria alguna en el Reglamento de Radiocomunicaciones. Es de vital importancia para los Miembros de la OMM que se culmine este empeño para proteger el funcionamiento de esos sensores de ahora en adelante.</w:t>
      </w:r>
    </w:p>
    <w:p w14:paraId="114B2441"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En el marco del tema a) del punto 9.1 del orden del día de la Conferencia Mundial de Radiocomunicaciones de 2023, deben ultimarse las cuestiones siguientes a fin de someterlas a la consideración de la Conferencia Mundial de Radiocomunicaciones de 2023:</w:t>
      </w:r>
    </w:p>
    <w:p w14:paraId="114B2442" w14:textId="77777777" w:rsidR="008907B5" w:rsidRPr="006B66E8" w:rsidRDefault="008907B5" w:rsidP="00EA5FCF">
      <w:pPr>
        <w:pStyle w:val="Alinea"/>
        <w:numPr>
          <w:ilvl w:val="0"/>
          <w:numId w:val="7"/>
        </w:numPr>
        <w:suppressAutoHyphens/>
        <w:autoSpaceDN w:val="0"/>
        <w:spacing w:before="240" w:after="240"/>
        <w:ind w:left="567" w:hanging="567"/>
        <w:jc w:val="left"/>
        <w:textAlignment w:val="baseline"/>
        <w:rPr>
          <w:rFonts w:ascii="Verdana" w:hAnsi="Verdana"/>
          <w:sz w:val="20"/>
          <w:szCs w:val="20"/>
          <w:lang w:val="es-ES"/>
        </w:rPr>
      </w:pPr>
      <w:r w:rsidRPr="006B66E8">
        <w:rPr>
          <w:rFonts w:ascii="Verdana" w:hAnsi="Verdana"/>
          <w:sz w:val="20"/>
          <w:szCs w:val="20"/>
          <w:lang w:val="es-ES"/>
        </w:rPr>
        <w:t>Determinar el servicio o servicios de radiocomunicaciones apropiados en los que deberían enmarcarse esos sensores. En esta fase se propone incluir los sensores meteorológicos espaciales de solo recepción y el uso activo de los sensores meteorológicos espaciales en un subconjunto del MetAids denominado MetAids (meteorología espacial).</w:t>
      </w:r>
    </w:p>
    <w:p w14:paraId="114B2443" w14:textId="77777777" w:rsidR="008907B5" w:rsidRPr="006B66E8" w:rsidRDefault="008907B5" w:rsidP="00EA5FCF">
      <w:pPr>
        <w:pStyle w:val="Alinea"/>
        <w:numPr>
          <w:ilvl w:val="0"/>
          <w:numId w:val="7"/>
        </w:numPr>
        <w:suppressAutoHyphens/>
        <w:autoSpaceDN w:val="0"/>
        <w:spacing w:before="240" w:after="240"/>
        <w:ind w:left="567" w:hanging="567"/>
        <w:jc w:val="left"/>
        <w:textAlignment w:val="baseline"/>
        <w:rPr>
          <w:rFonts w:ascii="Verdana" w:hAnsi="Verdana"/>
          <w:sz w:val="20"/>
          <w:szCs w:val="20"/>
          <w:lang w:val="es-ES"/>
        </w:rPr>
      </w:pPr>
      <w:r w:rsidRPr="006B66E8">
        <w:rPr>
          <w:rFonts w:ascii="Verdana" w:hAnsi="Verdana"/>
          <w:sz w:val="20"/>
          <w:szCs w:val="20"/>
          <w:lang w:val="es-ES"/>
        </w:rPr>
        <w:t>En los puntos 2 y 4 del apartado "resuelve invitar al Sector de Radiocomunicaciones de la UIT" de la Resolución 657 (Rev.CMR-19) se pide que se lleven a cabo estudios de compartición con los sistemas existentes que funcionan en las bandas de frecuencias utilizadas por los sensores meteorológicos espaciales de solo recepción operativos y con los sensores meteorológicos espaciales activos, respectivamente, con objeto de determinar disposiciones reglamentarias que p</w:t>
      </w:r>
      <w:r w:rsidR="00B71845" w:rsidRPr="006B66E8">
        <w:rPr>
          <w:rFonts w:ascii="Verdana" w:hAnsi="Verdana"/>
          <w:sz w:val="20"/>
          <w:szCs w:val="20"/>
          <w:lang w:val="es-ES"/>
        </w:rPr>
        <w:t xml:space="preserve">odrían </w:t>
      </w:r>
      <w:r w:rsidRPr="006B66E8">
        <w:rPr>
          <w:rFonts w:ascii="Verdana" w:hAnsi="Verdana"/>
          <w:sz w:val="20"/>
          <w:szCs w:val="20"/>
          <w:lang w:val="es-ES"/>
        </w:rPr>
        <w:t xml:space="preserve">definirse para su adecuado reconocimiento en el Reglamento de Radiocomunicaciones, sin imponer nuevas restricciones a los servicios existentes. Del análisis realizado por el Grupo de Trabajo 7C se desprende que, debido a la naturaleza de la aplicación de la meteorología del espacio (activa o de solo recepción), es preciso definir disposiciones específicas en el Reglamento </w:t>
      </w:r>
      <w:r w:rsidRPr="006B66E8">
        <w:rPr>
          <w:rFonts w:ascii="Verdana" w:hAnsi="Verdana"/>
          <w:sz w:val="20"/>
          <w:szCs w:val="20"/>
          <w:lang w:val="es-ES"/>
        </w:rPr>
        <w:lastRenderedPageBreak/>
        <w:t xml:space="preserve">de Radiocomunicaciones. Con todo, también se reconoce que en esta etapa sería difícil modificar el artículo 5 a través de este tema del punto 9.1 del orden del día, en particular porque la meteorología del espacio no está reconocida en el Reglamento de Radiocomunicaciones. Así pues, deberá inscribirse un nuevo punto en el orden del día de la Conferencia de Radiocomunicaciones de 2027 (basado en la opinión 2.6 de la Resolución 812 (CMR-19)) para que puedan realizarse todos los estudios necesarios mencionados anteriormente. La OMM señala que ese nuevo punto del orden del día de la Conferencia Mundial de Radiocomunicaciones de 2027 solo será </w:t>
      </w:r>
      <w:r w:rsidR="003A71E4" w:rsidRPr="006B66E8">
        <w:rPr>
          <w:rFonts w:ascii="Verdana" w:hAnsi="Verdana"/>
          <w:sz w:val="20"/>
          <w:szCs w:val="20"/>
          <w:lang w:val="es-ES"/>
        </w:rPr>
        <w:t xml:space="preserve">adecuado </w:t>
      </w:r>
      <w:r w:rsidRPr="006B66E8">
        <w:rPr>
          <w:rFonts w:ascii="Verdana" w:hAnsi="Verdana"/>
          <w:sz w:val="20"/>
          <w:szCs w:val="20"/>
          <w:lang w:val="es-ES"/>
        </w:rPr>
        <w:t xml:space="preserve">si la Conferencia Mundial de Radiocomunicaciones de 2023 decide reconocer la meteorología del espacio en el Reglamento de Radiocomunicaciones. </w:t>
      </w:r>
    </w:p>
    <w:p w14:paraId="114B2444" w14:textId="77777777" w:rsidR="008907B5" w:rsidRPr="006B66E8" w:rsidRDefault="008907B5" w:rsidP="00EA5FCF">
      <w:pPr>
        <w:pStyle w:val="Alinea"/>
        <w:numPr>
          <w:ilvl w:val="0"/>
          <w:numId w:val="7"/>
        </w:numPr>
        <w:suppressAutoHyphens/>
        <w:autoSpaceDN w:val="0"/>
        <w:spacing w:before="240" w:after="240"/>
        <w:ind w:left="567" w:hanging="567"/>
        <w:jc w:val="left"/>
        <w:textAlignment w:val="baseline"/>
        <w:rPr>
          <w:rFonts w:ascii="Verdana" w:hAnsi="Verdana"/>
          <w:sz w:val="20"/>
          <w:szCs w:val="20"/>
          <w:lang w:val="es-ES"/>
        </w:rPr>
      </w:pPr>
      <w:r w:rsidRPr="006B66E8">
        <w:rPr>
          <w:rFonts w:ascii="Verdana" w:hAnsi="Verdana"/>
          <w:sz w:val="20"/>
          <w:szCs w:val="20"/>
          <w:lang w:val="es-ES"/>
        </w:rPr>
        <w:t xml:space="preserve">Elaborar posibles soluciones que permitan describir en el Reglamento de Radiocomunicaciones, artículos 1 y 4, y/o </w:t>
      </w:r>
      <w:r w:rsidR="003A71E4" w:rsidRPr="006B66E8">
        <w:rPr>
          <w:rFonts w:ascii="Verdana" w:hAnsi="Verdana"/>
          <w:sz w:val="20"/>
          <w:szCs w:val="20"/>
          <w:lang w:val="es-ES"/>
        </w:rPr>
        <w:t xml:space="preserve">mediante una </w:t>
      </w:r>
      <w:r w:rsidRPr="006B66E8">
        <w:rPr>
          <w:rFonts w:ascii="Verdana" w:hAnsi="Verdana"/>
          <w:sz w:val="20"/>
          <w:szCs w:val="20"/>
          <w:lang w:val="es-ES"/>
        </w:rPr>
        <w:t>resolución de la Conferencia Mundial de Radiocomunicaciones, si se considera apropiado, los sistemas de sensores meteorológicos espaciales y sus correspondientes usos, así como los requisitos de protección para los sensores meteorológicos espaciales de solo recepción. El Grupo de Trabajo 7C elaboró las definiciones que figuran a continuación para su inclusión, en el momento oportuno, en los artículos 1 y 4 del Reglamento de Radiocomunicaciones:</w:t>
      </w:r>
    </w:p>
    <w:p w14:paraId="114B2445" w14:textId="77777777" w:rsidR="008907B5" w:rsidRPr="006B66E8" w:rsidRDefault="008907B5" w:rsidP="00BB0C0F">
      <w:pPr>
        <w:pStyle w:val="Alinea"/>
        <w:numPr>
          <w:ilvl w:val="0"/>
          <w:numId w:val="9"/>
        </w:numPr>
        <w:tabs>
          <w:tab w:val="left" w:pos="1134"/>
        </w:tabs>
        <w:suppressAutoHyphens/>
        <w:autoSpaceDN w:val="0"/>
        <w:spacing w:before="240" w:after="240"/>
        <w:ind w:left="2268" w:hanging="1701"/>
        <w:jc w:val="left"/>
        <w:textAlignment w:val="baseline"/>
        <w:rPr>
          <w:rFonts w:ascii="Verdana" w:hAnsi="Verdana"/>
          <w:sz w:val="20"/>
          <w:szCs w:val="20"/>
          <w:lang w:val="es-ES"/>
        </w:rPr>
      </w:pPr>
      <w:r w:rsidRPr="006B66E8">
        <w:rPr>
          <w:rFonts w:ascii="Verdana" w:hAnsi="Verdana"/>
          <w:sz w:val="20"/>
          <w:szCs w:val="20"/>
          <w:lang w:val="es-ES"/>
        </w:rPr>
        <w:t xml:space="preserve">1.XXX </w:t>
      </w:r>
      <w:r w:rsidRPr="006B66E8">
        <w:rPr>
          <w:rFonts w:ascii="Verdana" w:hAnsi="Verdana"/>
          <w:sz w:val="20"/>
          <w:szCs w:val="20"/>
          <w:lang w:val="es-ES"/>
        </w:rPr>
        <w:tab/>
      </w:r>
      <w:r w:rsidR="00F070E6" w:rsidRPr="006B66E8">
        <w:rPr>
          <w:rFonts w:ascii="Verdana" w:hAnsi="Verdana"/>
          <w:sz w:val="20"/>
          <w:szCs w:val="20"/>
          <w:lang w:val="es-ES"/>
        </w:rPr>
        <w:t>M</w:t>
      </w:r>
      <w:r w:rsidRPr="006B66E8">
        <w:rPr>
          <w:rFonts w:ascii="Verdana" w:hAnsi="Verdana"/>
          <w:sz w:val="20"/>
          <w:szCs w:val="20"/>
          <w:lang w:val="es-ES"/>
        </w:rPr>
        <w:t>eteorología del espacio: información relativa a las características de los fenómenos naturales que se producen en el espacio y en la alta atmósfera y que repercuten en el medioambiente de la Tierra y en la</w:t>
      </w:r>
      <w:r w:rsidR="003A71E4" w:rsidRPr="006B66E8">
        <w:rPr>
          <w:rFonts w:ascii="Verdana" w:hAnsi="Verdana"/>
          <w:sz w:val="20"/>
          <w:szCs w:val="20"/>
          <w:lang w:val="es-ES"/>
        </w:rPr>
        <w:t>s actividades humanas.</w:t>
      </w:r>
    </w:p>
    <w:p w14:paraId="114B2446" w14:textId="77777777" w:rsidR="008907B5" w:rsidRPr="006B66E8" w:rsidRDefault="008907B5" w:rsidP="00BB0C0F">
      <w:pPr>
        <w:pStyle w:val="Alinea"/>
        <w:numPr>
          <w:ilvl w:val="0"/>
          <w:numId w:val="9"/>
        </w:numPr>
        <w:tabs>
          <w:tab w:val="left" w:pos="1134"/>
        </w:tabs>
        <w:suppressAutoHyphens/>
        <w:autoSpaceDN w:val="0"/>
        <w:spacing w:before="240" w:after="240"/>
        <w:ind w:left="2268" w:hanging="1701"/>
        <w:jc w:val="left"/>
        <w:textAlignment w:val="baseline"/>
        <w:rPr>
          <w:rFonts w:ascii="Verdana" w:hAnsi="Verdana"/>
          <w:sz w:val="20"/>
          <w:szCs w:val="20"/>
          <w:lang w:val="es-ES"/>
        </w:rPr>
      </w:pPr>
      <w:r w:rsidRPr="006B66E8">
        <w:rPr>
          <w:rFonts w:ascii="Verdana" w:hAnsi="Verdana"/>
          <w:sz w:val="20"/>
          <w:szCs w:val="20"/>
          <w:lang w:val="es-ES"/>
        </w:rPr>
        <w:t>4.XXX</w:t>
      </w:r>
      <w:r w:rsidRPr="006B66E8">
        <w:rPr>
          <w:rFonts w:ascii="Verdana" w:hAnsi="Verdana"/>
          <w:sz w:val="20"/>
          <w:szCs w:val="20"/>
          <w:lang w:val="es-ES"/>
        </w:rPr>
        <w:tab/>
        <w:t>Los sensores meteorológicos espaciales destinados a observar fenómenos en el espacio o en la alta atmósfera pueden utilizar las bandas de frecuencias atribuidas al servicio de ayudas a la meteorología (meteorología del espacio).</w:t>
      </w:r>
    </w:p>
    <w:p w14:paraId="114B2447"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El Grupo de Trabajo 7C es el encargado de la realización de los estudios.</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44D" w14:textId="77777777" w:rsidTr="008907B5">
        <w:trPr>
          <w:trHeight w:val="1216"/>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448"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9.1, tema a), del orden del día de la Conferencia Mundial de Radiocomunicaciones de 2023</w:t>
            </w:r>
          </w:p>
          <w:p w14:paraId="114B2449"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apoya la definición del término "meteorología del espacio" propuesta por el Grupo de Trabajo 7C y el enfoque relativo a su reconocimiento en el Reglamento de Radiocomunicaciones, a través de un subconjunto del MetAids denominado MetAids (meteorología del espacio).</w:t>
            </w:r>
          </w:p>
          <w:p w14:paraId="114B244A"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también apoya las medidas siguientes:</w:t>
            </w:r>
          </w:p>
          <w:p w14:paraId="114B244B" w14:textId="77777777" w:rsidR="008907B5" w:rsidRPr="006B66E8" w:rsidRDefault="008907B5" w:rsidP="008F0E0A">
            <w:pPr>
              <w:pStyle w:val="Paragraph"/>
              <w:spacing w:before="240" w:after="240"/>
              <w:ind w:left="595" w:hanging="567"/>
              <w:jc w:val="left"/>
              <w:rPr>
                <w:rFonts w:ascii="Verdana" w:hAnsi="Verdana"/>
                <w:sz w:val="20"/>
                <w:szCs w:val="20"/>
                <w:lang w:val="es-ES"/>
              </w:rPr>
            </w:pPr>
            <w:r w:rsidRPr="006B66E8">
              <w:rPr>
                <w:rFonts w:ascii="Symbol" w:hAnsi="Symbol"/>
                <w:sz w:val="20"/>
                <w:szCs w:val="20"/>
                <w:lang w:val="es-ES"/>
              </w:rPr>
              <w:t></w:t>
            </w:r>
            <w:r w:rsidRPr="006B66E8">
              <w:rPr>
                <w:rFonts w:ascii="Symbol" w:hAnsi="Symbol"/>
                <w:sz w:val="20"/>
                <w:szCs w:val="20"/>
                <w:lang w:val="es-ES"/>
              </w:rPr>
              <w:tab/>
            </w:r>
            <w:r w:rsidRPr="006B66E8">
              <w:rPr>
                <w:rFonts w:ascii="Verdana" w:hAnsi="Verdana"/>
                <w:sz w:val="20"/>
                <w:szCs w:val="20"/>
                <w:lang w:val="es-ES"/>
              </w:rPr>
              <w:t xml:space="preserve">El reconocimiento, en la Conferencia Mundial de Radiocomunicaciones de 2023, de la meteorología del espacio, </w:t>
            </w:r>
            <w:r w:rsidR="003A71E4" w:rsidRPr="006B66E8">
              <w:rPr>
                <w:rFonts w:ascii="Verdana" w:hAnsi="Verdana"/>
                <w:sz w:val="20"/>
                <w:szCs w:val="20"/>
                <w:lang w:val="es-ES"/>
              </w:rPr>
              <w:t xml:space="preserve">mediante la enmienda de </w:t>
            </w:r>
            <w:r w:rsidRPr="006B66E8">
              <w:rPr>
                <w:rFonts w:ascii="Verdana" w:hAnsi="Verdana"/>
                <w:sz w:val="20"/>
                <w:szCs w:val="20"/>
                <w:lang w:val="es-ES"/>
              </w:rPr>
              <w:t>los artículos 1 y 4 del Reglamento de Radiocomunicaciones.</w:t>
            </w:r>
          </w:p>
          <w:p w14:paraId="114B244C" w14:textId="77777777" w:rsidR="008907B5" w:rsidRPr="006B66E8" w:rsidRDefault="008907B5" w:rsidP="008F0E0A">
            <w:pPr>
              <w:pStyle w:val="Paragraph"/>
              <w:spacing w:before="240" w:after="240"/>
              <w:ind w:left="597" w:hanging="597"/>
              <w:jc w:val="left"/>
              <w:rPr>
                <w:rFonts w:ascii="Verdana" w:hAnsi="Verdana"/>
                <w:sz w:val="20"/>
                <w:szCs w:val="20"/>
                <w:lang w:val="es-ES"/>
              </w:rPr>
            </w:pPr>
            <w:r w:rsidRPr="006B66E8">
              <w:rPr>
                <w:rFonts w:ascii="Symbol" w:hAnsi="Symbol"/>
                <w:sz w:val="20"/>
                <w:szCs w:val="20"/>
                <w:lang w:val="es-ES"/>
              </w:rPr>
              <w:t></w:t>
            </w:r>
            <w:r w:rsidRPr="006B66E8">
              <w:rPr>
                <w:rFonts w:ascii="Symbol" w:hAnsi="Symbol"/>
                <w:sz w:val="20"/>
                <w:szCs w:val="20"/>
                <w:lang w:val="es-ES"/>
              </w:rPr>
              <w:tab/>
            </w:r>
            <w:r w:rsidRPr="006B66E8">
              <w:rPr>
                <w:rFonts w:ascii="Verdana" w:hAnsi="Verdana"/>
                <w:sz w:val="20"/>
                <w:szCs w:val="20"/>
                <w:lang w:val="es-ES"/>
              </w:rPr>
              <w:t>La elaboración de un nuevo punto del orden del día de la Conferencia Mundial de Radiocomunicaciones de 2027 sobre la meteorología del espacio para definir las disposiciones reglamentarias sin imponer restricciones a los servicios existentes.</w:t>
            </w:r>
          </w:p>
        </w:tc>
      </w:tr>
    </w:tbl>
    <w:p w14:paraId="114B244E" w14:textId="77777777" w:rsidR="008907B5" w:rsidRPr="006B66E8" w:rsidRDefault="008907B5" w:rsidP="008907B5">
      <w:pPr>
        <w:pStyle w:val="Heading3"/>
        <w:spacing w:before="240" w:after="240"/>
        <w:rPr>
          <w:lang w:val="es-ES"/>
        </w:rPr>
      </w:pPr>
      <w:r w:rsidRPr="006B66E8">
        <w:rPr>
          <w:lang w:val="es-ES"/>
        </w:rPr>
        <w:t>3.17</w:t>
      </w:r>
      <w:r w:rsidRPr="006B66E8">
        <w:rPr>
          <w:lang w:val="es-ES"/>
        </w:rPr>
        <w:tab/>
        <w:t>Punto 9.1 del orden del día, tema c)</w:t>
      </w:r>
    </w:p>
    <w:p w14:paraId="114B244F" w14:textId="77777777" w:rsidR="008907B5" w:rsidRPr="006B66E8" w:rsidRDefault="008907B5" w:rsidP="008907B5">
      <w:pPr>
        <w:spacing w:before="240" w:after="240"/>
        <w:ind w:right="-170"/>
        <w:jc w:val="left"/>
        <w:rPr>
          <w:lang w:val="es-ES"/>
        </w:rPr>
      </w:pPr>
      <w:r w:rsidRPr="006B66E8">
        <w:rPr>
          <w:i/>
          <w:iCs/>
          <w:lang w:val="es-ES"/>
        </w:rPr>
        <w:t xml:space="preserve">“estudiar la utilización de los sistemas de telecomunicaciones móviles internacionales para la banda ancha inalámbrica fija en las bandas de frecuencias atribuidas al servicio fijo a título primario, de conformidad con la Resolución </w:t>
      </w:r>
      <w:r w:rsidRPr="006B66E8">
        <w:rPr>
          <w:b/>
          <w:bCs/>
          <w:i/>
          <w:iCs/>
          <w:lang w:val="es-ES"/>
        </w:rPr>
        <w:t>175 (CMR-19)</w:t>
      </w:r>
      <w:r w:rsidRPr="006B66E8">
        <w:rPr>
          <w:i/>
          <w:iCs/>
          <w:lang w:val="es-ES"/>
        </w:rPr>
        <w:t>”.</w:t>
      </w:r>
    </w:p>
    <w:p w14:paraId="114B2450"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lastRenderedPageBreak/>
        <w:t xml:space="preserve">En el marco del tema c) del punto 9.1 del orden del día se pide la realización de estudios sobre la utilización de las bandas de frecuencias atribuidas al servicio fijo. Este punto genera preocupación, ya que toda banda de frecuencias atribuida al servicio fijo está abierta a consideración y, por tanto, es susceptible de modificar las condiciones de coexistencia de los servicios que operan en las bandas atribuidas al servicio fijo o en bandas adyacentes a estas. </w:t>
      </w:r>
    </w:p>
    <w:p w14:paraId="114B2451"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Las cuestiones debatidas en el marco de este punto del orden del día podrían afectar a diversas aplicaciones meteorológicas, incluidos el SETS, el MetSat y el MetAids, ya sea en las bandas de frecuencias atribuidas a esos servicios o bien en bandas adyacentes. Conviene destacar que esto incluye también diversas bandas adyacentes atribuidas al SETS (pasivo) para las que resulta de aplicación lo dispuesto en la </w:t>
      </w:r>
      <w:r w:rsidRPr="006B66E8">
        <w:rPr>
          <w:rFonts w:ascii="Verdana" w:hAnsi="Verdana"/>
          <w:b/>
          <w:bCs/>
          <w:sz w:val="20"/>
          <w:szCs w:val="20"/>
          <w:lang w:val="es-ES"/>
        </w:rPr>
        <w:t>nota 5.340</w:t>
      </w:r>
      <w:r w:rsidRPr="006B66E8">
        <w:rPr>
          <w:rFonts w:ascii="Verdana" w:hAnsi="Verdana"/>
          <w:sz w:val="20"/>
          <w:szCs w:val="20"/>
          <w:lang w:val="es-ES"/>
        </w:rPr>
        <w:t xml:space="preserve"> del Reglamento de Radiocomunicaciones.</w:t>
      </w:r>
    </w:p>
    <w:p w14:paraId="114B2452"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Los Grupos de Trabajo 5A y 5C se encargan conjuntamente de la realización de los estudios, y los Grupos de Trabajo 7B y 7C contribuyen a ellos.</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456" w14:textId="77777777" w:rsidTr="008907B5">
        <w:trPr>
          <w:trHeight w:val="1909"/>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453"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 xml:space="preserve">Posición de la Organización Meteorológica Mundial respecto al punto 9.1, tema c), </w:t>
            </w:r>
            <w:r w:rsidR="009877A4" w:rsidRPr="006B66E8">
              <w:rPr>
                <w:rFonts w:ascii="Verdana" w:hAnsi="Verdana"/>
                <w:bCs/>
                <w:sz w:val="20"/>
                <w:lang w:val="es-ES"/>
              </w:rPr>
              <w:br/>
            </w:r>
            <w:r w:rsidRPr="006B66E8">
              <w:rPr>
                <w:rFonts w:ascii="Verdana" w:hAnsi="Verdana"/>
                <w:bCs/>
                <w:sz w:val="20"/>
                <w:lang w:val="es-ES"/>
              </w:rPr>
              <w:t>del orden del día de la Conferencia Mundial de Radiocomunicaciones de 2023</w:t>
            </w:r>
          </w:p>
          <w:p w14:paraId="114B2454"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 xml:space="preserve">La OMM manifiesta su inquietud por el tema c) del punto 9.1 del orden del día, dado que su alcance es muy amplio y, por tanto, podría afectar a numerosas operaciones y aplicaciones meteorológicas, incluido el SETS (pasivo) en virtud de lo dispuesto en la </w:t>
            </w:r>
            <w:r w:rsidRPr="006B66E8">
              <w:rPr>
                <w:rFonts w:ascii="Verdana" w:hAnsi="Verdana"/>
                <w:b/>
                <w:bCs/>
                <w:sz w:val="20"/>
                <w:szCs w:val="20"/>
                <w:lang w:val="es-ES"/>
              </w:rPr>
              <w:t>nota 5.340</w:t>
            </w:r>
            <w:r w:rsidRPr="006B66E8">
              <w:rPr>
                <w:rFonts w:ascii="Verdana" w:hAnsi="Verdana"/>
                <w:sz w:val="20"/>
                <w:szCs w:val="20"/>
                <w:lang w:val="es-ES"/>
              </w:rPr>
              <w:t xml:space="preserve"> del Reglamento de Radiocomunicaciones.</w:t>
            </w:r>
          </w:p>
          <w:p w14:paraId="114B2455" w14:textId="77777777" w:rsidR="008907B5" w:rsidRPr="006B66E8" w:rsidRDefault="008907B5" w:rsidP="009D6A2C">
            <w:pPr>
              <w:pStyle w:val="Paragraph"/>
              <w:spacing w:before="240" w:after="240"/>
              <w:jc w:val="left"/>
              <w:rPr>
                <w:rFonts w:ascii="Verdana" w:hAnsi="Verdana"/>
                <w:sz w:val="20"/>
                <w:szCs w:val="20"/>
                <w:lang w:val="es-ES"/>
              </w:rPr>
            </w:pPr>
            <w:r w:rsidRPr="006B66E8">
              <w:rPr>
                <w:rFonts w:ascii="Verdana" w:hAnsi="Verdana"/>
                <w:sz w:val="20"/>
                <w:szCs w:val="20"/>
                <w:lang w:val="es-ES"/>
              </w:rPr>
              <w:t xml:space="preserve">Es necesario garantizar la protección de los servicios científicos espaciales. Por consiguiente, </w:t>
            </w:r>
            <w:r w:rsidR="009D6A2C" w:rsidRPr="006B66E8">
              <w:rPr>
                <w:rFonts w:ascii="Verdana" w:hAnsi="Verdana"/>
                <w:sz w:val="20"/>
                <w:szCs w:val="20"/>
                <w:lang w:val="es-ES"/>
              </w:rPr>
              <w:t xml:space="preserve">en el marco de este tema del punto 9.1 del orden del día, </w:t>
            </w:r>
            <w:r w:rsidRPr="006B66E8">
              <w:rPr>
                <w:rFonts w:ascii="Verdana" w:hAnsi="Verdana"/>
                <w:sz w:val="20"/>
                <w:szCs w:val="20"/>
                <w:lang w:val="es-ES"/>
              </w:rPr>
              <w:t>la OMM no apoya ningún cambio en el Reglamento de Radiocomunicaciones, salvo la supresió</w:t>
            </w:r>
            <w:r w:rsidR="009D6A2C" w:rsidRPr="006B66E8">
              <w:rPr>
                <w:rFonts w:ascii="Verdana" w:hAnsi="Verdana"/>
                <w:sz w:val="20"/>
                <w:szCs w:val="20"/>
                <w:lang w:val="es-ES"/>
              </w:rPr>
              <w:t>n de la Resolución 175 (CMR-19)</w:t>
            </w:r>
            <w:r w:rsidRPr="006B66E8">
              <w:rPr>
                <w:rFonts w:ascii="Verdana" w:hAnsi="Verdana"/>
                <w:sz w:val="20"/>
                <w:szCs w:val="20"/>
                <w:lang w:val="es-ES"/>
              </w:rPr>
              <w:t>.</w:t>
            </w:r>
          </w:p>
        </w:tc>
      </w:tr>
    </w:tbl>
    <w:p w14:paraId="114B2457" w14:textId="77777777" w:rsidR="008907B5" w:rsidRPr="006B66E8" w:rsidRDefault="008907B5" w:rsidP="008907B5">
      <w:pPr>
        <w:pStyle w:val="Heading3"/>
        <w:spacing w:before="240" w:after="240"/>
        <w:rPr>
          <w:lang w:val="es-ES"/>
        </w:rPr>
      </w:pPr>
      <w:r w:rsidRPr="006B66E8">
        <w:rPr>
          <w:lang w:val="es-ES"/>
        </w:rPr>
        <w:t>3.18</w:t>
      </w:r>
      <w:r w:rsidRPr="006B66E8">
        <w:rPr>
          <w:lang w:val="es-ES"/>
        </w:rPr>
        <w:tab/>
        <w:t>Punto 9.1 del orden del día, tema d)</w:t>
      </w:r>
    </w:p>
    <w:p w14:paraId="114B2458" w14:textId="77777777" w:rsidR="008907B5" w:rsidRPr="006B66E8" w:rsidRDefault="008907B5" w:rsidP="008907B5">
      <w:pPr>
        <w:spacing w:before="240" w:after="240"/>
        <w:jc w:val="left"/>
        <w:rPr>
          <w:i/>
          <w:iCs/>
          <w:lang w:val="es-ES"/>
        </w:rPr>
      </w:pPr>
      <w:r w:rsidRPr="006B66E8">
        <w:rPr>
          <w:i/>
          <w:iCs/>
          <w:lang w:val="es-ES"/>
        </w:rPr>
        <w:t>“protección del SEST (pasivo) en la banda de frecuencias 36-37 GHz frente a las estaciones espaciales del SFS no OSG”.</w:t>
      </w:r>
    </w:p>
    <w:p w14:paraId="114B2459"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Entre los estudios considerados en el marco del punto 1.6 del orden del día de la Conferencia</w:t>
      </w:r>
      <w:r w:rsidR="00E2021A" w:rsidRPr="006B66E8">
        <w:rPr>
          <w:rFonts w:ascii="Verdana" w:hAnsi="Verdana"/>
          <w:sz w:val="20"/>
          <w:szCs w:val="20"/>
          <w:lang w:val="es-ES"/>
        </w:rPr>
        <w:t xml:space="preserve"> </w:t>
      </w:r>
      <w:r w:rsidRPr="006B66E8">
        <w:rPr>
          <w:rFonts w:ascii="Verdana" w:hAnsi="Verdana"/>
          <w:sz w:val="20"/>
          <w:szCs w:val="20"/>
          <w:lang w:val="es-ES"/>
        </w:rPr>
        <w:t>Mundial de Radiocomunicaciones de 2019, se presentó al UIT-R un estudio preliminar sobre la protección de los sensores del SETS (pasivo) que operan en la banda de frecuencias de</w:t>
      </w:r>
      <w:r w:rsidR="00E2021A" w:rsidRPr="006B66E8">
        <w:rPr>
          <w:rFonts w:ascii="Verdana" w:hAnsi="Verdana"/>
          <w:sz w:val="20"/>
          <w:szCs w:val="20"/>
          <w:lang w:val="es-ES"/>
        </w:rPr>
        <w:t xml:space="preserve"> 36</w:t>
      </w:r>
      <w:r w:rsidR="00E2021A" w:rsidRPr="006B66E8">
        <w:rPr>
          <w:rFonts w:ascii="Verdana" w:hAnsi="Verdana"/>
          <w:sz w:val="20"/>
          <w:szCs w:val="20"/>
          <w:lang w:val="es-ES"/>
        </w:rPr>
        <w:noBreakHyphen/>
        <w:t>37 </w:t>
      </w:r>
      <w:r w:rsidRPr="006B66E8">
        <w:rPr>
          <w:rFonts w:ascii="Verdana" w:hAnsi="Verdana"/>
          <w:sz w:val="20"/>
          <w:szCs w:val="20"/>
          <w:lang w:val="es-ES"/>
        </w:rPr>
        <w:t>GHz frente a las estaciones espaciales del SFS en órbita no geoestacionaria que operan en la banda de frecuencias de 37,5-38 GHz. Según ese estudio preliminar, puede que sea necesario aplicar a las estaciones espaciales del SFS en órbita no geoestacionaria una potencia isótropa radiada equivalente (PIRE) no deseada de −34</w:t>
      </w:r>
      <w:r w:rsidR="00F070E6" w:rsidRPr="006B66E8">
        <w:rPr>
          <w:rFonts w:ascii="Verdana" w:hAnsi="Verdana"/>
          <w:sz w:val="20"/>
          <w:szCs w:val="20"/>
          <w:lang w:val="es-ES"/>
        </w:rPr>
        <w:t> </w:t>
      </w:r>
      <w:r w:rsidRPr="006B66E8">
        <w:rPr>
          <w:rFonts w:ascii="Verdana" w:hAnsi="Verdana"/>
          <w:sz w:val="20"/>
          <w:szCs w:val="20"/>
          <w:lang w:val="es-ES"/>
        </w:rPr>
        <w:t>dBW/100</w:t>
      </w:r>
      <w:r w:rsidR="00F070E6" w:rsidRPr="006B66E8">
        <w:rPr>
          <w:rFonts w:ascii="Verdana" w:hAnsi="Verdana"/>
          <w:sz w:val="20"/>
          <w:szCs w:val="20"/>
          <w:lang w:val="es-ES"/>
        </w:rPr>
        <w:t> </w:t>
      </w:r>
      <w:r w:rsidRPr="006B66E8">
        <w:rPr>
          <w:rFonts w:ascii="Verdana" w:hAnsi="Verdana"/>
          <w:sz w:val="20"/>
          <w:szCs w:val="20"/>
          <w:lang w:val="es-ES"/>
        </w:rPr>
        <w:t>MHz para todos los ángulos superiores a 71,4° respecto del nadir. Asimismo, no se estudió la interferencia en el canal de calibración en frío de los sensores del SETS (pasivo) que operan e</w:t>
      </w:r>
      <w:r w:rsidR="00E2021A" w:rsidRPr="006B66E8">
        <w:rPr>
          <w:rFonts w:ascii="Verdana" w:hAnsi="Verdana"/>
          <w:sz w:val="20"/>
          <w:szCs w:val="20"/>
          <w:lang w:val="es-ES"/>
        </w:rPr>
        <w:t>n la banda de frecuencias de 36</w:t>
      </w:r>
      <w:r w:rsidR="00E2021A" w:rsidRPr="006B66E8">
        <w:rPr>
          <w:rFonts w:ascii="Verdana" w:hAnsi="Verdana"/>
          <w:sz w:val="20"/>
          <w:szCs w:val="20"/>
          <w:lang w:val="es-ES"/>
        </w:rPr>
        <w:noBreakHyphen/>
      </w:r>
      <w:r w:rsidRPr="006B66E8">
        <w:rPr>
          <w:rFonts w:ascii="Verdana" w:hAnsi="Verdana"/>
          <w:sz w:val="20"/>
          <w:szCs w:val="20"/>
          <w:lang w:val="es-ES"/>
        </w:rPr>
        <w:t>3</w:t>
      </w:r>
      <w:r w:rsidR="00E2021A" w:rsidRPr="006B66E8">
        <w:rPr>
          <w:rFonts w:ascii="Verdana" w:hAnsi="Verdana"/>
          <w:sz w:val="20"/>
          <w:szCs w:val="20"/>
          <w:lang w:val="es-ES"/>
        </w:rPr>
        <w:t>7 </w:t>
      </w:r>
      <w:r w:rsidRPr="006B66E8">
        <w:rPr>
          <w:rFonts w:ascii="Verdana" w:hAnsi="Verdana"/>
          <w:sz w:val="20"/>
          <w:szCs w:val="20"/>
          <w:lang w:val="es-ES"/>
        </w:rPr>
        <w:t xml:space="preserve">GHz. </w:t>
      </w:r>
    </w:p>
    <w:p w14:paraId="114B245A"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Partiendo de esa base, la Conferencia Mundial de Radiocomunicaciones de 2019 invitó al UIT-R a que siguiera estudiando la cuestión y elaborara recomendaciones o informes, según procediera, e informara al respecto a la Conferencia Mundial de Radiocomunicaciones de 2023 para que adoptara medidas, en caso necesario. Además, en la Conferencia Mundial de Radiocomunicaciones de 2019 se acordó que las modificaciones realizadas en la Resolución 750 (Rev.CMR-19) no deberían tenerse en cuenta en esos estudios, ya que la banda de frecuencias de 36-37 GHz no se menciona en la </w:t>
      </w:r>
      <w:r w:rsidRPr="006B66E8">
        <w:rPr>
          <w:rFonts w:ascii="Verdana" w:hAnsi="Verdana"/>
          <w:b/>
          <w:bCs/>
          <w:sz w:val="20"/>
          <w:szCs w:val="20"/>
          <w:lang w:val="es-ES"/>
        </w:rPr>
        <w:t>nota 5.340</w:t>
      </w:r>
      <w:r w:rsidRPr="006B66E8">
        <w:rPr>
          <w:rFonts w:ascii="Verdana" w:hAnsi="Verdana"/>
          <w:sz w:val="20"/>
          <w:szCs w:val="20"/>
          <w:lang w:val="es-ES"/>
        </w:rPr>
        <w:t xml:space="preserve"> del Reglamento de Radiocomunicaciones.</w:t>
      </w:r>
    </w:p>
    <w:p w14:paraId="114B245B" w14:textId="77777777" w:rsidR="00F070E6" w:rsidRPr="006B66E8" w:rsidRDefault="00F070E6" w:rsidP="008907B5">
      <w:pPr>
        <w:spacing w:before="240" w:after="240"/>
        <w:jc w:val="left"/>
        <w:rPr>
          <w:lang w:val="es-ES"/>
        </w:rPr>
      </w:pPr>
      <w:r w:rsidRPr="006B66E8">
        <w:rPr>
          <w:lang w:val="es-ES"/>
        </w:rPr>
        <w:br w:type="page"/>
      </w:r>
    </w:p>
    <w:p w14:paraId="114B245C" w14:textId="77777777" w:rsidR="008907B5" w:rsidRPr="006B66E8" w:rsidRDefault="008907B5" w:rsidP="008907B5">
      <w:pPr>
        <w:spacing w:before="240" w:after="240"/>
        <w:jc w:val="left"/>
        <w:rPr>
          <w:lang w:val="es-ES"/>
        </w:rPr>
      </w:pPr>
      <w:r w:rsidRPr="006B66E8">
        <w:rPr>
          <w:lang w:val="es-ES"/>
        </w:rPr>
        <w:lastRenderedPageBreak/>
        <w:t>Se están considerando dos temas de estudio:</w:t>
      </w:r>
    </w:p>
    <w:p w14:paraId="114B245D" w14:textId="77777777" w:rsidR="008907B5" w:rsidRPr="006B66E8" w:rsidRDefault="008907B5" w:rsidP="00F070E6">
      <w:pPr>
        <w:tabs>
          <w:tab w:val="clear" w:pos="1134"/>
          <w:tab w:val="left" w:pos="567"/>
        </w:tabs>
        <w:spacing w:before="240" w:after="240"/>
        <w:ind w:left="567" w:hanging="567"/>
        <w:jc w:val="left"/>
        <w:rPr>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Repercusiones en el canal de detección del SETS provocadas por constelaciones que operan a altitudes inferiores a la de los satélites del SETS.</w:t>
      </w:r>
    </w:p>
    <w:p w14:paraId="114B245E" w14:textId="77777777" w:rsidR="008907B5" w:rsidRPr="006B66E8" w:rsidRDefault="008907B5" w:rsidP="00F070E6">
      <w:pPr>
        <w:tabs>
          <w:tab w:val="clear" w:pos="1134"/>
          <w:tab w:val="left" w:pos="567"/>
        </w:tabs>
        <w:spacing w:before="240" w:after="240"/>
        <w:ind w:left="567" w:hanging="567"/>
        <w:jc w:val="left"/>
        <w:rPr>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 xml:space="preserve">Repercusiones en el canal de </w:t>
      </w:r>
      <w:r w:rsidR="00E2021A" w:rsidRPr="006B66E8">
        <w:rPr>
          <w:lang w:val="es-ES"/>
        </w:rPr>
        <w:t xml:space="preserve">calibración </w:t>
      </w:r>
      <w:r w:rsidRPr="006B66E8">
        <w:rPr>
          <w:lang w:val="es-ES"/>
        </w:rPr>
        <w:t>del SETS provocadas por constelaciones que operan a altitudes superiores a la de los satélites del SETS.</w:t>
      </w:r>
    </w:p>
    <w:p w14:paraId="114B245F"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El Grupo de Trabajo 7C es el encargado de la realización de los estudios.</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462" w14:textId="77777777" w:rsidTr="008907B5">
        <w:trPr>
          <w:trHeight w:val="1522"/>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460"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Posición de la Organización Meteorológica Mundial respecto al punto 9.1, tema d), del orden del día de la Conferencia Mundial de Radiocomunicaciones de 2023</w:t>
            </w:r>
          </w:p>
          <w:p w14:paraId="114B2461"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aboga por la protección de los sensores del SETS (pasivo) (incluso para las mediciones de calibración en frío mediante la observación del cielo) en l</w:t>
            </w:r>
            <w:r w:rsidR="00E2021A" w:rsidRPr="006B66E8">
              <w:rPr>
                <w:rFonts w:ascii="Verdana" w:hAnsi="Verdana"/>
                <w:sz w:val="20"/>
                <w:szCs w:val="20"/>
                <w:lang w:val="es-ES"/>
              </w:rPr>
              <w:t>a banda de frecuencias de 36</w:t>
            </w:r>
            <w:r w:rsidR="00E2021A" w:rsidRPr="006B66E8">
              <w:rPr>
                <w:rFonts w:ascii="Verdana" w:hAnsi="Verdana"/>
                <w:sz w:val="20"/>
                <w:szCs w:val="20"/>
                <w:lang w:val="es-ES"/>
              </w:rPr>
              <w:noBreakHyphen/>
              <w:t>37 </w:t>
            </w:r>
            <w:r w:rsidRPr="006B66E8">
              <w:rPr>
                <w:rFonts w:ascii="Verdana" w:hAnsi="Verdana"/>
                <w:sz w:val="20"/>
                <w:szCs w:val="20"/>
                <w:lang w:val="es-ES"/>
              </w:rPr>
              <w:t>GHz frente a las operaciones del SFS en órbita no geoestacionaria en la banda de frecuencias de 37,5-38 GHz. Para ello, la OMM apoya las condiciones pertinentes señaladas en los resultados de los estudios del UIT-R realizados en el marco de este punto del orden del día y su adecuada aplicación como disposiciones reglamentarias del Reglamento de Radiocomunicaciones para proteger los sensores del SETS (pa</w:t>
            </w:r>
            <w:r w:rsidR="0040302D" w:rsidRPr="006B66E8">
              <w:rPr>
                <w:rFonts w:ascii="Verdana" w:hAnsi="Verdana"/>
                <w:sz w:val="20"/>
                <w:szCs w:val="20"/>
                <w:lang w:val="es-ES"/>
              </w:rPr>
              <w:t>sivo).</w:t>
            </w:r>
          </w:p>
        </w:tc>
      </w:tr>
    </w:tbl>
    <w:p w14:paraId="114B2463" w14:textId="77777777" w:rsidR="008907B5" w:rsidRPr="006B66E8" w:rsidRDefault="008907B5" w:rsidP="008907B5">
      <w:pPr>
        <w:pStyle w:val="Heading3"/>
        <w:spacing w:before="240" w:after="240"/>
        <w:rPr>
          <w:lang w:val="es-ES"/>
        </w:rPr>
      </w:pPr>
      <w:r w:rsidRPr="006B66E8">
        <w:rPr>
          <w:lang w:val="es-ES"/>
        </w:rPr>
        <w:t>3.19</w:t>
      </w:r>
      <w:r w:rsidRPr="006B66E8">
        <w:rPr>
          <w:lang w:val="es-ES"/>
        </w:rPr>
        <w:tab/>
        <w:t>Punto 9 del orden del día, centrado en el artículo 21</w:t>
      </w:r>
    </w:p>
    <w:p w14:paraId="114B2464" w14:textId="77777777" w:rsidR="008907B5" w:rsidRPr="006B66E8" w:rsidRDefault="00F5710F" w:rsidP="008907B5">
      <w:pPr>
        <w:spacing w:before="240" w:after="240"/>
        <w:jc w:val="left"/>
        <w:rPr>
          <w:i/>
          <w:iCs/>
          <w:lang w:val="es-ES"/>
        </w:rPr>
      </w:pPr>
      <w:r w:rsidRPr="006B66E8">
        <w:rPr>
          <w:i/>
          <w:iCs/>
          <w:lang w:val="es-ES"/>
        </w:rPr>
        <w:t>“s</w:t>
      </w:r>
      <w:r w:rsidR="008907B5" w:rsidRPr="006B66E8">
        <w:rPr>
          <w:i/>
          <w:iCs/>
          <w:lang w:val="es-ES"/>
        </w:rPr>
        <w:t>e invita al UIT-R a que estudie, con carácter urgen</w:t>
      </w:r>
      <w:r w:rsidRPr="006B66E8">
        <w:rPr>
          <w:i/>
          <w:iCs/>
          <w:lang w:val="es-ES"/>
        </w:rPr>
        <w:t>te</w:t>
      </w:r>
      <w:r w:rsidR="008907B5" w:rsidRPr="006B66E8">
        <w:rPr>
          <w:i/>
          <w:iCs/>
          <w:lang w:val="es-ES"/>
        </w:rPr>
        <w:t>, la aplicabilidad del límite especificado en el número 21.5 del Reglamento de Radiocomunicaciones a las estaciones de las IMT que utilizan una antena formada por un conjunto de elementos activos, con vistas a recomendar métodos para su posible sustitución o revisión para dichas estaciones, así como cualquier actualización necesaria del Cuadro 21-2 relativo a los servicios terrestres y espaciales que comparten bandas de frecuencias.</w:t>
      </w:r>
      <w:r w:rsidR="008907B5" w:rsidRPr="006B66E8">
        <w:rPr>
          <w:lang w:val="es-ES"/>
        </w:rPr>
        <w:t xml:space="preserve"> </w:t>
      </w:r>
      <w:r w:rsidR="008907B5" w:rsidRPr="006B66E8">
        <w:rPr>
          <w:i/>
          <w:iCs/>
          <w:lang w:val="es-ES"/>
        </w:rPr>
        <w:t>Además, se invita al UIT-R a que estudie, con carácter urgente, la verificación del número 21.5 en lo que se refiere a la notificación de las estaciones de las IMT que utilizan una antena formada por un conjunto de elementos activos, según proceda”.</w:t>
      </w:r>
    </w:p>
    <w:p w14:paraId="114B2465"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 xml:space="preserve">En consonancia con la decisión adoptada con respecto al punto 1.13 del orden del día de la Conferencia Mundial de Radiocomunicaciones de 2019, en el Documento 550 de dicha conferencia se invitó a la UIT a estudiar la aplicabilidad del límite especificado en el </w:t>
      </w:r>
      <w:r w:rsidRPr="006B66E8">
        <w:rPr>
          <w:rFonts w:ascii="Verdana" w:hAnsi="Verdana"/>
          <w:b/>
          <w:bCs/>
          <w:sz w:val="20"/>
          <w:szCs w:val="20"/>
          <w:lang w:val="es-ES"/>
        </w:rPr>
        <w:t>número</w:t>
      </w:r>
      <w:r w:rsidR="00F070E6" w:rsidRPr="006B66E8">
        <w:rPr>
          <w:rFonts w:ascii="Verdana" w:hAnsi="Verdana"/>
          <w:b/>
          <w:bCs/>
          <w:sz w:val="20"/>
          <w:szCs w:val="20"/>
          <w:lang w:val="es-ES"/>
        </w:rPr>
        <w:t> </w:t>
      </w:r>
      <w:r w:rsidRPr="006B66E8">
        <w:rPr>
          <w:rFonts w:ascii="Verdana" w:hAnsi="Verdana"/>
          <w:b/>
          <w:bCs/>
          <w:sz w:val="20"/>
          <w:szCs w:val="20"/>
          <w:lang w:val="es-ES"/>
        </w:rPr>
        <w:t>21.5</w:t>
      </w:r>
      <w:r w:rsidRPr="006B66E8">
        <w:rPr>
          <w:rFonts w:ascii="Verdana" w:hAnsi="Verdana"/>
          <w:sz w:val="20"/>
          <w:szCs w:val="20"/>
          <w:lang w:val="es-ES"/>
        </w:rPr>
        <w:t xml:space="preserve"> del Reglamento de Radiocomunicaciones a las estaciones de las IMT en la banda de frecuencias de 26 GHz que utilizan una antena formada por un conjunto de elementos activos.</w:t>
      </w:r>
    </w:p>
    <w:p w14:paraId="114B2466"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La Conferencia Mundial de Radiocomunicaciones de 2019 identificó la banda de frecuencias de 24,25-27,5 GHz para su utilización por las IMT. La inquietud de la OMM está relacionada con la actual atribución al SETS (espacio-Tierra) en la banda de frecuencias de 25,5-27 GHz. Cabe señalar que otras atribuciones podrían verse afectadas por el despliegue, o despliegue previsto, de un conjunto de elementos activos de ese tipo.</w:t>
      </w:r>
    </w:p>
    <w:p w14:paraId="114B2467"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En opinión de la OMM, deben adoptarse las medidas siguientes:</w:t>
      </w:r>
    </w:p>
    <w:p w14:paraId="114B2468" w14:textId="77777777" w:rsidR="008907B5" w:rsidRPr="006B66E8" w:rsidRDefault="008907B5" w:rsidP="00F070E6">
      <w:pPr>
        <w:tabs>
          <w:tab w:val="clear" w:pos="1134"/>
          <w:tab w:val="left" w:pos="851"/>
        </w:tabs>
        <w:suppressAutoHyphens/>
        <w:autoSpaceDN w:val="0"/>
        <w:spacing w:before="240" w:after="240"/>
        <w:ind w:left="567" w:hanging="567"/>
        <w:jc w:val="left"/>
        <w:textAlignment w:val="baseline"/>
        <w:rPr>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Actualizar el Cuadro 21-2 relativo a los servicios terrestres y espaciales que comparten bandas de frecuencias.</w:t>
      </w:r>
    </w:p>
    <w:p w14:paraId="114B2469" w14:textId="77777777" w:rsidR="008907B5" w:rsidRPr="006B66E8" w:rsidRDefault="008907B5" w:rsidP="00F070E6">
      <w:pPr>
        <w:tabs>
          <w:tab w:val="clear" w:pos="1134"/>
          <w:tab w:val="left" w:pos="567"/>
        </w:tabs>
        <w:suppressAutoHyphens/>
        <w:autoSpaceDN w:val="0"/>
        <w:spacing w:before="240" w:after="240"/>
        <w:ind w:left="567" w:hanging="567"/>
        <w:jc w:val="left"/>
        <w:textAlignment w:val="baseline"/>
        <w:rPr>
          <w:lang w:val="es-ES"/>
        </w:rPr>
      </w:pPr>
      <w:r w:rsidRPr="006B66E8">
        <w:rPr>
          <w:rFonts w:ascii="Symbol" w:eastAsia="MS Mincho" w:hAnsi="Symbol" w:cs="Times New Roman"/>
          <w:lang w:val="es-ES"/>
        </w:rPr>
        <w:t></w:t>
      </w:r>
      <w:r w:rsidRPr="006B66E8">
        <w:rPr>
          <w:rFonts w:ascii="Symbol" w:eastAsia="MS Mincho" w:hAnsi="Symbol" w:cs="Times New Roman"/>
          <w:lang w:val="es-ES"/>
        </w:rPr>
        <w:tab/>
      </w:r>
      <w:r w:rsidRPr="006B66E8">
        <w:rPr>
          <w:lang w:val="es-ES"/>
        </w:rPr>
        <w:t xml:space="preserve">Estudiar las repercusiones de la aplicación de los actuales límites especificados en el </w:t>
      </w:r>
      <w:r w:rsidRPr="006B66E8">
        <w:rPr>
          <w:b/>
          <w:bCs/>
          <w:lang w:val="es-ES"/>
        </w:rPr>
        <w:t xml:space="preserve">número 21.5 </w:t>
      </w:r>
      <w:r w:rsidRPr="006B66E8">
        <w:rPr>
          <w:lang w:val="es-ES"/>
        </w:rPr>
        <w:t xml:space="preserve">del Reglamento de Radiocomunicaciones a las estaciones base de las IMT que utilizan un conjunto de elementos activos. </w:t>
      </w:r>
    </w:p>
    <w:p w14:paraId="114B246A" w14:textId="77777777" w:rsidR="008907B5" w:rsidRPr="006B66E8" w:rsidRDefault="008907B5" w:rsidP="00F070E6">
      <w:pPr>
        <w:tabs>
          <w:tab w:val="clear" w:pos="1134"/>
          <w:tab w:val="left" w:pos="567"/>
        </w:tabs>
        <w:suppressAutoHyphens/>
        <w:autoSpaceDN w:val="0"/>
        <w:spacing w:before="240" w:after="240"/>
        <w:ind w:left="567" w:hanging="567"/>
        <w:jc w:val="left"/>
        <w:textAlignment w:val="baseline"/>
        <w:rPr>
          <w:lang w:val="es-ES"/>
        </w:rPr>
      </w:pPr>
      <w:r w:rsidRPr="006B66E8">
        <w:rPr>
          <w:rFonts w:ascii="Symbol" w:eastAsia="MS Mincho" w:hAnsi="Symbol" w:cs="Times New Roman"/>
          <w:lang w:val="es-ES"/>
        </w:rPr>
        <w:lastRenderedPageBreak/>
        <w:t></w:t>
      </w:r>
      <w:r w:rsidRPr="006B66E8">
        <w:rPr>
          <w:rFonts w:ascii="Symbol" w:eastAsia="MS Mincho" w:hAnsi="Symbol" w:cs="Times New Roman"/>
          <w:lang w:val="es-ES"/>
        </w:rPr>
        <w:tab/>
      </w:r>
      <w:r w:rsidRPr="006B66E8">
        <w:rPr>
          <w:lang w:val="es-ES"/>
        </w:rPr>
        <w:t>Velar por que el despliegue de dichas estaciones base de las IMT, en virtud de lo dispuesto en el Reglamento de Radiocomunicaciones (edición de 2020), no afecte al funcionamiento del SETS (espacio-Tierra) en la banda de frecuencias de 25,5-27 GHz.</w:t>
      </w:r>
    </w:p>
    <w:p w14:paraId="114B246B" w14:textId="77777777" w:rsidR="008907B5" w:rsidRPr="006B66E8" w:rsidRDefault="008907B5" w:rsidP="008907B5">
      <w:pPr>
        <w:pStyle w:val="ListParagraph"/>
        <w:spacing w:before="240" w:after="240"/>
        <w:jc w:val="left"/>
        <w:rPr>
          <w:rFonts w:ascii="Verdana" w:hAnsi="Verdana"/>
          <w:iCs/>
          <w:sz w:val="20"/>
          <w:szCs w:val="20"/>
          <w:lang w:val="es-ES"/>
        </w:rPr>
      </w:pPr>
      <w:r w:rsidRPr="006B66E8">
        <w:rPr>
          <w:rFonts w:ascii="Verdana" w:hAnsi="Verdana"/>
          <w:sz w:val="20"/>
          <w:szCs w:val="20"/>
          <w:lang w:val="es-ES"/>
        </w:rPr>
        <w:t>El Grupo de Trabajo 5D es el encargado de la realización de los estudios.</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46E" w14:textId="77777777" w:rsidTr="008907B5">
        <w:trPr>
          <w:trHeight w:val="2431"/>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46C"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t xml:space="preserve">Posición de la Organización Meteorológica Mundial respecto al punto 9 del orden </w:t>
            </w:r>
            <w:r w:rsidR="00611D00" w:rsidRPr="006B66E8">
              <w:rPr>
                <w:rFonts w:ascii="Verdana" w:hAnsi="Verdana"/>
                <w:bCs/>
                <w:sz w:val="20"/>
                <w:lang w:val="es-ES"/>
              </w:rPr>
              <w:br/>
            </w:r>
            <w:r w:rsidRPr="006B66E8">
              <w:rPr>
                <w:rFonts w:ascii="Verdana" w:hAnsi="Verdana"/>
                <w:bCs/>
                <w:sz w:val="20"/>
                <w:lang w:val="es-ES"/>
              </w:rPr>
              <w:t xml:space="preserve">del día de la Conferencia Mundial de Radiocomunicaciones de 2023, centrado </w:t>
            </w:r>
            <w:r w:rsidR="00611D00" w:rsidRPr="006B66E8">
              <w:rPr>
                <w:rFonts w:ascii="Verdana" w:hAnsi="Verdana"/>
                <w:bCs/>
                <w:sz w:val="20"/>
                <w:lang w:val="es-ES"/>
              </w:rPr>
              <w:br/>
            </w:r>
            <w:r w:rsidRPr="006B66E8">
              <w:rPr>
                <w:rFonts w:ascii="Verdana" w:hAnsi="Verdana"/>
                <w:bCs/>
                <w:sz w:val="20"/>
                <w:lang w:val="es-ES"/>
              </w:rPr>
              <w:t>en el artículo 21</w:t>
            </w:r>
          </w:p>
          <w:p w14:paraId="114B246D"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 xml:space="preserve">La OMM apoya el enfoque para velar por que no se produzca ninguna repercusión en el funcionamiento del SETS (espacio-Tierra) en la banda de frecuencias de 25,5-27 GHz debido al futuro despliegue, en frecuencias compartidas, de sistemas de las IMT que utilizan una antena formada por un conjunto de elementos activos. En cuanto a la notificación de esos sistemas de las IMT, la OMM respalda la elaboración de un método provisional para la notificación y verificación de las estaciones de las IMT con sistema activo de antenas con respecto al </w:t>
            </w:r>
            <w:r w:rsidRPr="006B66E8">
              <w:rPr>
                <w:rFonts w:ascii="Verdana" w:hAnsi="Verdana"/>
                <w:b/>
                <w:bCs/>
                <w:sz w:val="20"/>
                <w:szCs w:val="20"/>
                <w:lang w:val="es-ES"/>
              </w:rPr>
              <w:t>número 21.5</w:t>
            </w:r>
            <w:r w:rsidRPr="006B66E8">
              <w:rPr>
                <w:rFonts w:ascii="Verdana" w:hAnsi="Verdana"/>
                <w:sz w:val="20"/>
                <w:szCs w:val="20"/>
                <w:lang w:val="es-ES"/>
              </w:rPr>
              <w:t xml:space="preserve"> del Reglamento de Radiocomunicaciones </w:t>
            </w:r>
            <w:r w:rsidR="00611D00" w:rsidRPr="006B66E8">
              <w:rPr>
                <w:rFonts w:ascii="Verdana" w:hAnsi="Verdana"/>
                <w:sz w:val="20"/>
                <w:szCs w:val="20"/>
                <w:lang w:val="es-ES"/>
              </w:rPr>
              <w:t xml:space="preserve">que operan </w:t>
            </w:r>
            <w:r w:rsidRPr="006B66E8">
              <w:rPr>
                <w:rFonts w:ascii="Verdana" w:hAnsi="Verdana"/>
                <w:sz w:val="20"/>
                <w:szCs w:val="20"/>
                <w:lang w:val="es-ES"/>
              </w:rPr>
              <w:t xml:space="preserve">en la banda de frecuencias de 25,5-27 GHz antes de la adopción de una decisión adecuada por parte de la Conferencia Mundial de </w:t>
            </w:r>
            <w:r w:rsidR="00611D00" w:rsidRPr="006B66E8">
              <w:rPr>
                <w:rFonts w:ascii="Verdana" w:hAnsi="Verdana"/>
                <w:sz w:val="20"/>
                <w:szCs w:val="20"/>
                <w:lang w:val="es-ES"/>
              </w:rPr>
              <w:t>Radiocomunicaciones competente.</w:t>
            </w:r>
          </w:p>
        </w:tc>
      </w:tr>
    </w:tbl>
    <w:p w14:paraId="114B246F" w14:textId="77777777" w:rsidR="008907B5" w:rsidRPr="006B66E8" w:rsidRDefault="008907B5" w:rsidP="008907B5">
      <w:pPr>
        <w:pStyle w:val="Heading3"/>
        <w:spacing w:before="240" w:after="240"/>
        <w:rPr>
          <w:lang w:val="es-ES"/>
        </w:rPr>
      </w:pPr>
      <w:r w:rsidRPr="006B66E8">
        <w:rPr>
          <w:lang w:val="es-ES"/>
        </w:rPr>
        <w:t>3.20</w:t>
      </w:r>
      <w:r w:rsidRPr="006B66E8">
        <w:rPr>
          <w:lang w:val="es-ES"/>
        </w:rPr>
        <w:tab/>
        <w:t>Punto 10 del orden del día</w:t>
      </w:r>
    </w:p>
    <w:p w14:paraId="114B2470" w14:textId="77777777" w:rsidR="008907B5" w:rsidRPr="006B66E8" w:rsidRDefault="008907B5" w:rsidP="008907B5">
      <w:pPr>
        <w:spacing w:before="240" w:after="240"/>
        <w:ind w:right="-170"/>
        <w:jc w:val="left"/>
        <w:rPr>
          <w:lang w:val="es-ES"/>
        </w:rPr>
      </w:pPr>
      <w:r w:rsidRPr="006B66E8">
        <w:rPr>
          <w:i/>
          <w:iCs/>
          <w:lang w:val="es-ES"/>
        </w:rPr>
        <w:t>“recomendar al Consejo los puntos que han de incluirse en el orden del día de la próxima</w:t>
      </w:r>
      <w:r w:rsidR="00BB0C0F" w:rsidRPr="006B66E8">
        <w:rPr>
          <w:i/>
          <w:iCs/>
          <w:lang w:val="es-ES"/>
        </w:rPr>
        <w:t xml:space="preserve"> </w:t>
      </w:r>
      <w:r w:rsidRPr="006B66E8">
        <w:rPr>
          <w:i/>
          <w:iCs/>
          <w:lang w:val="es-ES"/>
        </w:rPr>
        <w:t xml:space="preserve">CMR, y formular opiniones sobre el orden del día preliminar de la conferencia subsiguiente y sobre los posibles órdenes del día de futuras conferencias, de conformidad con el Artículo 7 del Convenio (Resolución </w:t>
      </w:r>
      <w:r w:rsidRPr="006B66E8">
        <w:rPr>
          <w:b/>
          <w:bCs/>
          <w:i/>
          <w:iCs/>
          <w:lang w:val="es-ES"/>
        </w:rPr>
        <w:t>810 (CMR-15)</w:t>
      </w:r>
      <w:r w:rsidRPr="006B66E8">
        <w:rPr>
          <w:i/>
          <w:iCs/>
          <w:lang w:val="es-ES"/>
        </w:rPr>
        <w:t>)”.</w:t>
      </w:r>
    </w:p>
    <w:p w14:paraId="114B2471"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La Conferencia Mundial de Radiocomunicaciones de 2019 estableció el orden del día preliminar de la Conferencia Mundial de Radiocomunicaciones de 2027. El orden del día preliminar se volverá a considerar en la Conferencia Mundial de Radiocomunicaciones de 2023, donde se evaluará cada punto del orden del día preliminar para determinar su eventual inclusión en el orden del día final de la Conferencia Mundial de Radiocomunicaciones de 2027.</w:t>
      </w:r>
    </w:p>
    <w:p w14:paraId="114B2472" w14:textId="77777777" w:rsidR="008907B5" w:rsidRPr="006B66E8" w:rsidRDefault="008907B5" w:rsidP="008907B5">
      <w:pPr>
        <w:pStyle w:val="ListParagraph"/>
        <w:spacing w:before="240" w:after="240"/>
        <w:jc w:val="left"/>
        <w:rPr>
          <w:rFonts w:ascii="Verdana" w:hAnsi="Verdana"/>
          <w:sz w:val="20"/>
          <w:szCs w:val="20"/>
          <w:lang w:val="es-ES"/>
        </w:rPr>
      </w:pPr>
      <w:r w:rsidRPr="006B66E8">
        <w:rPr>
          <w:rFonts w:ascii="Verdana" w:hAnsi="Verdana"/>
          <w:sz w:val="20"/>
          <w:szCs w:val="20"/>
          <w:lang w:val="es-ES"/>
        </w:rPr>
        <w:t>En el actual orden del día preliminar de la Conferencia Mundial de Radiocomunicaciones de 2027 figuran varios puntos que suscitan interés o preocupación en la OMM:</w:t>
      </w:r>
    </w:p>
    <w:p w14:paraId="114B2473" w14:textId="77777777" w:rsidR="008907B5" w:rsidRPr="006B66E8" w:rsidRDefault="008907B5" w:rsidP="008907B5">
      <w:pPr>
        <w:suppressAutoHyphens/>
        <w:autoSpaceDN w:val="0"/>
        <w:spacing w:before="240" w:after="240"/>
        <w:ind w:left="567" w:right="-170" w:hanging="567"/>
        <w:jc w:val="left"/>
        <w:textAlignment w:val="baseline"/>
        <w:rPr>
          <w:lang w:val="es-ES"/>
        </w:rPr>
      </w:pPr>
      <w:r w:rsidRPr="006B66E8">
        <w:rPr>
          <w:rFonts w:eastAsia="MS Mincho" w:cs="Times New Roman"/>
          <w:lang w:val="es-ES"/>
        </w:rPr>
        <w:t>•</w:t>
      </w:r>
      <w:r w:rsidRPr="006B66E8">
        <w:rPr>
          <w:rFonts w:eastAsia="MS Mincho" w:cs="Times New Roman"/>
          <w:lang w:val="es-ES"/>
        </w:rPr>
        <w:tab/>
      </w:r>
      <w:r w:rsidRPr="006B66E8">
        <w:rPr>
          <w:b/>
          <w:bCs/>
          <w:i/>
          <w:iCs/>
          <w:lang w:val="es-ES"/>
        </w:rPr>
        <w:t>Punto 2.1 del orden del día preliminar:</w:t>
      </w:r>
      <w:r w:rsidRPr="006B66E8">
        <w:rPr>
          <w:i/>
          <w:iCs/>
          <w:lang w:val="es-ES"/>
        </w:rPr>
        <w:t xml:space="preserve"> “considerar</w:t>
      </w:r>
      <w:r w:rsidR="00982BFF" w:rsidRPr="006B66E8">
        <w:rPr>
          <w:i/>
          <w:iCs/>
          <w:lang w:val="es-ES"/>
        </w:rPr>
        <w:t xml:space="preserve"> </w:t>
      </w:r>
      <w:r w:rsidRPr="006B66E8">
        <w:rPr>
          <w:i/>
          <w:iCs/>
          <w:lang w:val="es-ES"/>
        </w:rPr>
        <w:t>la posibilidad de efectuar atribuciones adicionales de espectro al servicio de radiolocalización a título coprimario en la banda de frecuencias 231,5-275 GHz y la identificación de espectro para aplicaciones de radiolocalización en las bandas de frecuencias en</w:t>
      </w:r>
      <w:r w:rsidR="00611D00" w:rsidRPr="006B66E8">
        <w:rPr>
          <w:i/>
          <w:iCs/>
          <w:lang w:val="es-ES"/>
        </w:rPr>
        <w:t xml:space="preserve"> la gama de frecuencias 275</w:t>
      </w:r>
      <w:r w:rsidR="00611D00" w:rsidRPr="006B66E8">
        <w:rPr>
          <w:i/>
          <w:iCs/>
          <w:lang w:val="es-ES"/>
        </w:rPr>
        <w:noBreakHyphen/>
        <w:t>700 </w:t>
      </w:r>
      <w:r w:rsidRPr="006B66E8">
        <w:rPr>
          <w:i/>
          <w:iCs/>
          <w:lang w:val="es-ES"/>
        </w:rPr>
        <w:t xml:space="preserve">GHz para sistemas de imágenes en ondas milimétricas y submilimétricas, de conformidad con la Resolución </w:t>
      </w:r>
      <w:r w:rsidRPr="006B66E8">
        <w:rPr>
          <w:b/>
          <w:bCs/>
          <w:i/>
          <w:iCs/>
          <w:lang w:val="es-ES"/>
        </w:rPr>
        <w:t>663 (CMR-19)</w:t>
      </w:r>
      <w:r w:rsidR="00982BFF" w:rsidRPr="006B66E8">
        <w:rPr>
          <w:i/>
          <w:iCs/>
          <w:lang w:val="es-ES"/>
        </w:rPr>
        <w:t>”</w:t>
      </w:r>
      <w:r w:rsidRPr="006B66E8">
        <w:rPr>
          <w:i/>
          <w:iCs/>
          <w:lang w:val="es-ES"/>
        </w:rPr>
        <w:t>.</w:t>
      </w:r>
    </w:p>
    <w:p w14:paraId="114B2474"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sz w:val="20"/>
          <w:szCs w:val="20"/>
          <w:lang w:val="es-ES"/>
        </w:rPr>
        <w:t>Las gamas de frecuencias especificadas en este punto del orden del día se superponen a algunas bandas de frecuencias atribuidas al SETS (pasivo) o identificadas para su utilización por dicho servicio. Debe asegurarse la protección del SETS (pasivo).</w:t>
      </w:r>
    </w:p>
    <w:p w14:paraId="114B2475"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b/>
          <w:bCs/>
          <w:sz w:val="20"/>
          <w:szCs w:val="20"/>
          <w:lang w:val="es-ES"/>
        </w:rPr>
        <w:t>Posición de la OMM:</w:t>
      </w:r>
      <w:r w:rsidRPr="006B66E8">
        <w:rPr>
          <w:rFonts w:ascii="Verdana" w:hAnsi="Verdana"/>
          <w:sz w:val="20"/>
          <w:szCs w:val="20"/>
          <w:lang w:val="es-ES"/>
        </w:rPr>
        <w:t xml:space="preserve"> La OMM apoya la protección de los sistemas y aplicaciones de teledetección pasiva en la gama de frecuencias de 231,5-700 GHz. Si este punto del orden del día preliminar se incluye en el orden del día de la Conferencia Mundial de Radiocomunicaciones de 2027, todo cambio en el apoyo a las aplicaciones de radiolocalización debería tener en cuenta la protección de las actuales atribuciones y sistemas que operan conforme a lo dispuesto en el </w:t>
      </w:r>
      <w:r w:rsidRPr="006B66E8">
        <w:rPr>
          <w:rFonts w:ascii="Verdana" w:hAnsi="Verdana"/>
          <w:b/>
          <w:bCs/>
          <w:sz w:val="20"/>
          <w:szCs w:val="20"/>
          <w:lang w:val="es-ES"/>
        </w:rPr>
        <w:t xml:space="preserve">número 5.565 </w:t>
      </w:r>
      <w:r w:rsidRPr="006B66E8">
        <w:rPr>
          <w:rFonts w:ascii="Verdana" w:hAnsi="Verdana"/>
          <w:sz w:val="20"/>
          <w:szCs w:val="20"/>
          <w:lang w:val="es-ES"/>
        </w:rPr>
        <w:t xml:space="preserve">del Reglamento de Radiocomunicaciones y los resultados del punto 1.14 del orden del día de la Conferencia Mundial de Radiocomunicaciones de 2023. También se presta atención al hecho de que </w:t>
      </w:r>
      <w:r w:rsidRPr="006B66E8">
        <w:rPr>
          <w:rFonts w:ascii="Verdana" w:hAnsi="Verdana"/>
          <w:sz w:val="20"/>
          <w:szCs w:val="20"/>
          <w:lang w:val="es-ES"/>
        </w:rPr>
        <w:lastRenderedPageBreak/>
        <w:t xml:space="preserve">esta gama abarca las bandas de frecuencias que deben </w:t>
      </w:r>
      <w:r w:rsidR="00611D00" w:rsidRPr="006B66E8">
        <w:rPr>
          <w:rFonts w:ascii="Verdana" w:hAnsi="Verdana"/>
          <w:sz w:val="20"/>
          <w:szCs w:val="20"/>
          <w:lang w:val="es-ES"/>
        </w:rPr>
        <w:t>ser protegidas, según se indica</w:t>
      </w:r>
      <w:r w:rsidRPr="006B66E8">
        <w:rPr>
          <w:rFonts w:ascii="Verdana" w:hAnsi="Verdana"/>
          <w:sz w:val="20"/>
          <w:szCs w:val="20"/>
          <w:lang w:val="es-ES"/>
        </w:rPr>
        <w:t xml:space="preserve"> en la </w:t>
      </w:r>
      <w:r w:rsidRPr="006B66E8">
        <w:rPr>
          <w:rFonts w:ascii="Verdana" w:hAnsi="Verdana"/>
          <w:b/>
          <w:bCs/>
          <w:sz w:val="20"/>
          <w:szCs w:val="20"/>
          <w:lang w:val="es-ES"/>
        </w:rPr>
        <w:t xml:space="preserve">nota 5.340 </w:t>
      </w:r>
      <w:r w:rsidRPr="006B66E8">
        <w:rPr>
          <w:rFonts w:ascii="Verdana" w:hAnsi="Verdana"/>
          <w:sz w:val="20"/>
          <w:szCs w:val="20"/>
          <w:lang w:val="es-ES"/>
        </w:rPr>
        <w:t xml:space="preserve">del Reglamento de Radiocomunicaciones, y es adyacente a </w:t>
      </w:r>
      <w:r w:rsidR="00611D00" w:rsidRPr="006B66E8">
        <w:rPr>
          <w:rFonts w:ascii="Verdana" w:hAnsi="Verdana"/>
          <w:sz w:val="20"/>
          <w:szCs w:val="20"/>
          <w:lang w:val="es-ES"/>
        </w:rPr>
        <w:t>ellas.</w:t>
      </w:r>
    </w:p>
    <w:p w14:paraId="114B2476" w14:textId="77777777" w:rsidR="008907B5" w:rsidRPr="006B66E8" w:rsidRDefault="008907B5" w:rsidP="009A026B">
      <w:pPr>
        <w:pStyle w:val="ListParagraph"/>
        <w:numPr>
          <w:ilvl w:val="1"/>
          <w:numId w:val="10"/>
        </w:numPr>
        <w:suppressAutoHyphens/>
        <w:autoSpaceDN w:val="0"/>
        <w:spacing w:before="240" w:after="240"/>
        <w:ind w:left="567" w:hanging="567"/>
        <w:jc w:val="left"/>
        <w:textAlignment w:val="baseline"/>
        <w:rPr>
          <w:rFonts w:ascii="Verdana" w:hAnsi="Verdana"/>
          <w:sz w:val="20"/>
          <w:szCs w:val="20"/>
          <w:lang w:val="es-ES"/>
        </w:rPr>
      </w:pPr>
      <w:r w:rsidRPr="006B66E8">
        <w:rPr>
          <w:rFonts w:ascii="Verdana" w:hAnsi="Verdana"/>
          <w:b/>
          <w:bCs/>
          <w:i/>
          <w:iCs/>
          <w:sz w:val="20"/>
          <w:szCs w:val="20"/>
          <w:lang w:val="es-ES"/>
        </w:rPr>
        <w:t xml:space="preserve">Punto 2.2 del orden del día preliminar: </w:t>
      </w:r>
      <w:r w:rsidRPr="006B66E8">
        <w:rPr>
          <w:rFonts w:ascii="Verdana" w:hAnsi="Verdana"/>
          <w:i/>
          <w:iCs/>
          <w:sz w:val="20"/>
          <w:szCs w:val="20"/>
          <w:lang w:val="es-ES"/>
        </w:rPr>
        <w:t xml:space="preserve">“estudiar y definir las medidas técnicas, operativas y reglamentarias, según proceda, necesarias para facilitar la utilización de las bandas de frecuencias 37,5-39,5 GHz (espacio-Tierra), 40,5-42,5 GHz (espacio-Tierra), 47,2-50,2 GHz (Tierra-espacio) y 50,4-51,4 GHz (Tierra-espacio) por estaciones terrenas en movimiento marítimas y aeronáuticas que comunican con estaciones espaciales geoestacionarias del servicio fijo por satélite, de conformidad con la </w:t>
      </w:r>
      <w:r w:rsidRPr="006B66E8">
        <w:rPr>
          <w:rFonts w:ascii="Verdana" w:hAnsi="Verdana"/>
          <w:b/>
          <w:bCs/>
          <w:i/>
          <w:iCs/>
          <w:sz w:val="20"/>
          <w:szCs w:val="20"/>
          <w:lang w:val="es-ES"/>
        </w:rPr>
        <w:t>Resolución 176 (CMR-19)</w:t>
      </w:r>
      <w:r w:rsidRPr="006B66E8">
        <w:rPr>
          <w:rFonts w:ascii="Verdana" w:hAnsi="Verdana"/>
          <w:i/>
          <w:iCs/>
          <w:sz w:val="20"/>
          <w:szCs w:val="20"/>
          <w:lang w:val="es-ES"/>
        </w:rPr>
        <w:t>”</w:t>
      </w:r>
      <w:r w:rsidRPr="006B66E8">
        <w:rPr>
          <w:rFonts w:ascii="Verdana" w:hAnsi="Verdana"/>
          <w:sz w:val="20"/>
          <w:szCs w:val="20"/>
          <w:lang w:val="es-ES"/>
        </w:rPr>
        <w:t>.</w:t>
      </w:r>
    </w:p>
    <w:p w14:paraId="114B2477" w14:textId="77777777" w:rsidR="008907B5" w:rsidRPr="006B66E8" w:rsidRDefault="008907B5" w:rsidP="008907B5">
      <w:pPr>
        <w:pStyle w:val="ListParagraph"/>
        <w:spacing w:before="240" w:after="240"/>
        <w:ind w:left="567" w:right="-170"/>
        <w:jc w:val="left"/>
        <w:rPr>
          <w:rFonts w:ascii="Verdana" w:hAnsi="Verdana"/>
          <w:sz w:val="20"/>
          <w:szCs w:val="20"/>
          <w:lang w:val="es-ES"/>
        </w:rPr>
      </w:pPr>
      <w:r w:rsidRPr="006B66E8">
        <w:rPr>
          <w:rFonts w:ascii="Verdana" w:hAnsi="Verdana"/>
          <w:sz w:val="20"/>
          <w:szCs w:val="20"/>
          <w:lang w:val="es-ES"/>
        </w:rPr>
        <w:t>En el marco de este punto del orden del día preliminar se examinan disposiciones reglamentarias para facilitar el despliegue de estaciones terrenas en movimiento que funcionan al amparo del SFS. Se abre la puerta a un posible aumento de las interferencias al SETS (pasivo) en la banda de frecuencias de 50,2-50,4 GHz.</w:t>
      </w:r>
    </w:p>
    <w:p w14:paraId="114B2478"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b/>
          <w:bCs/>
          <w:sz w:val="20"/>
          <w:szCs w:val="20"/>
          <w:lang w:val="es-ES"/>
        </w:rPr>
        <w:t xml:space="preserve">Posición de la OMM: </w:t>
      </w:r>
      <w:r w:rsidRPr="006B66E8">
        <w:rPr>
          <w:rFonts w:ascii="Verdana" w:hAnsi="Verdana"/>
          <w:sz w:val="20"/>
          <w:szCs w:val="20"/>
          <w:lang w:val="es-ES"/>
        </w:rPr>
        <w:t>En opinión de la OMM, todo punto del orden del día de la Conferencia Mundial de Radiocomunicaciones de 2027 que trate de las estaciones terrenas en movimiento en las bandas de frecuencias de 37,5-39,5 GHz (espacio-Tierra), 40,5-42,5 GHz (espacio-Tierra), 47,2-50,2 GHz (Tierra-e</w:t>
      </w:r>
      <w:r w:rsidR="00E12147" w:rsidRPr="006B66E8">
        <w:rPr>
          <w:rFonts w:ascii="Verdana" w:hAnsi="Verdana"/>
          <w:sz w:val="20"/>
          <w:szCs w:val="20"/>
          <w:lang w:val="es-ES"/>
        </w:rPr>
        <w:t>spacio) y 50,4-51,4 GHz (Tierra</w:t>
      </w:r>
      <w:r w:rsidR="00E12147" w:rsidRPr="006B66E8">
        <w:rPr>
          <w:rFonts w:ascii="Verdana" w:hAnsi="Verdana"/>
          <w:sz w:val="20"/>
          <w:szCs w:val="20"/>
          <w:lang w:val="es-ES"/>
        </w:rPr>
        <w:noBreakHyphen/>
      </w:r>
      <w:r w:rsidRPr="006B66E8">
        <w:rPr>
          <w:rFonts w:ascii="Verdana" w:hAnsi="Verdana"/>
          <w:sz w:val="20"/>
          <w:szCs w:val="20"/>
          <w:lang w:val="es-ES"/>
        </w:rPr>
        <w:t>espacio) debería tener debidamente en cuenta la necesidad de proteger las atribuciones a los servicios científicos espaciales (SIE, SETS, SETS (pasivo)) en las bandas consideradas y en las bandas adyacentes.</w:t>
      </w:r>
    </w:p>
    <w:p w14:paraId="114B2479" w14:textId="77777777" w:rsidR="008907B5" w:rsidRPr="006B66E8" w:rsidRDefault="00E12147" w:rsidP="00982BFF">
      <w:pPr>
        <w:pStyle w:val="ListParagraph"/>
        <w:numPr>
          <w:ilvl w:val="1"/>
          <w:numId w:val="10"/>
        </w:numPr>
        <w:suppressAutoHyphens/>
        <w:autoSpaceDN w:val="0"/>
        <w:spacing w:before="240" w:after="240"/>
        <w:ind w:left="567" w:hanging="567"/>
        <w:jc w:val="left"/>
        <w:textAlignment w:val="baseline"/>
        <w:rPr>
          <w:rFonts w:ascii="Verdana" w:hAnsi="Verdana"/>
          <w:i/>
          <w:iCs/>
          <w:sz w:val="20"/>
          <w:szCs w:val="20"/>
          <w:lang w:val="es-ES"/>
        </w:rPr>
      </w:pPr>
      <w:r w:rsidRPr="006B66E8">
        <w:rPr>
          <w:rFonts w:ascii="Verdana" w:hAnsi="Verdana"/>
          <w:b/>
          <w:bCs/>
          <w:i/>
          <w:iCs/>
          <w:sz w:val="20"/>
          <w:szCs w:val="20"/>
          <w:lang w:val="es-ES"/>
        </w:rPr>
        <w:t>Puntos 2.4, 2.5 y 2.</w:t>
      </w:r>
      <w:r w:rsidR="008907B5" w:rsidRPr="006B66E8">
        <w:rPr>
          <w:rFonts w:ascii="Verdana" w:hAnsi="Verdana"/>
          <w:b/>
          <w:bCs/>
          <w:i/>
          <w:iCs/>
          <w:sz w:val="20"/>
          <w:szCs w:val="20"/>
          <w:lang w:val="es-ES"/>
        </w:rPr>
        <w:t>7 del orden del día preliminar</w:t>
      </w:r>
    </w:p>
    <w:p w14:paraId="114B247A" w14:textId="77777777" w:rsidR="008907B5" w:rsidRPr="006B66E8" w:rsidRDefault="008907B5" w:rsidP="008907B5">
      <w:pPr>
        <w:pStyle w:val="ListParagraph"/>
        <w:spacing w:before="240" w:after="240"/>
        <w:ind w:left="567"/>
        <w:jc w:val="left"/>
        <w:rPr>
          <w:rFonts w:ascii="Verdana" w:hAnsi="Verdana"/>
          <w:i/>
          <w:iCs/>
          <w:sz w:val="20"/>
          <w:szCs w:val="20"/>
          <w:lang w:val="es-ES"/>
        </w:rPr>
      </w:pPr>
      <w:r w:rsidRPr="006B66E8">
        <w:rPr>
          <w:rFonts w:ascii="Verdana" w:hAnsi="Verdana"/>
          <w:b/>
          <w:bCs/>
          <w:i/>
          <w:iCs/>
          <w:sz w:val="20"/>
          <w:szCs w:val="20"/>
          <w:lang w:val="es-ES"/>
        </w:rPr>
        <w:t>Punto 2.4:</w:t>
      </w:r>
      <w:r w:rsidRPr="006B66E8">
        <w:rPr>
          <w:rFonts w:ascii="Verdana" w:hAnsi="Verdana"/>
          <w:sz w:val="20"/>
          <w:szCs w:val="20"/>
          <w:lang w:val="es-ES"/>
        </w:rPr>
        <w:t xml:space="preserve"> </w:t>
      </w:r>
      <w:r w:rsidRPr="006B66E8">
        <w:rPr>
          <w:rFonts w:ascii="Verdana" w:hAnsi="Verdana"/>
          <w:i/>
          <w:iCs/>
          <w:sz w:val="20"/>
          <w:szCs w:val="20"/>
          <w:lang w:val="es-ES"/>
        </w:rPr>
        <w:t xml:space="preserve">“introducción en el Artículo 21 de límites de la densidad de flujo de potencia (DFP) y de la potencia isotrópica radiada equivalente (PIRE) para las bandas de frecuencias 71-76 GHz y 81-86 GHz, de conformidad con la Resolución </w:t>
      </w:r>
      <w:r w:rsidRPr="006B66E8">
        <w:rPr>
          <w:rFonts w:ascii="Verdana" w:hAnsi="Verdana"/>
          <w:b/>
          <w:bCs/>
          <w:i/>
          <w:iCs/>
          <w:sz w:val="20"/>
          <w:szCs w:val="20"/>
          <w:lang w:val="es-ES"/>
        </w:rPr>
        <w:t>775 (CMR-19)</w:t>
      </w:r>
      <w:r w:rsidRPr="006B66E8">
        <w:rPr>
          <w:rFonts w:ascii="Verdana" w:hAnsi="Verdana"/>
          <w:i/>
          <w:iCs/>
          <w:sz w:val="20"/>
          <w:szCs w:val="20"/>
          <w:lang w:val="es-ES"/>
        </w:rPr>
        <w:t>”.</w:t>
      </w:r>
    </w:p>
    <w:p w14:paraId="114B247B" w14:textId="77777777" w:rsidR="008907B5" w:rsidRPr="006B66E8" w:rsidRDefault="008907B5" w:rsidP="008907B5">
      <w:pPr>
        <w:spacing w:before="240" w:after="240"/>
        <w:ind w:left="567"/>
        <w:jc w:val="left"/>
        <w:rPr>
          <w:i/>
          <w:iCs/>
          <w:lang w:val="es-ES"/>
        </w:rPr>
      </w:pPr>
      <w:r w:rsidRPr="006B66E8">
        <w:rPr>
          <w:b/>
          <w:bCs/>
          <w:i/>
          <w:iCs/>
          <w:lang w:val="es-ES"/>
        </w:rPr>
        <w:t>Punto 2.5:</w:t>
      </w:r>
      <w:r w:rsidRPr="006B66E8">
        <w:rPr>
          <w:lang w:val="es-ES"/>
        </w:rPr>
        <w:t xml:space="preserve"> </w:t>
      </w:r>
      <w:r w:rsidRPr="006B66E8">
        <w:rPr>
          <w:i/>
          <w:iCs/>
          <w:lang w:val="es-ES"/>
        </w:rPr>
        <w:t>“condiciones de utilización de las bandas de f</w:t>
      </w:r>
      <w:r w:rsidR="00E12147" w:rsidRPr="006B66E8">
        <w:rPr>
          <w:i/>
          <w:iCs/>
          <w:lang w:val="es-ES"/>
        </w:rPr>
        <w:t xml:space="preserve">recuencias de 71-76 GHz </w:t>
      </w:r>
      <w:r w:rsidR="00E12147" w:rsidRPr="006B66E8">
        <w:rPr>
          <w:i/>
          <w:iCs/>
          <w:lang w:val="es-ES"/>
        </w:rPr>
        <w:br/>
        <w:t>y 81</w:t>
      </w:r>
      <w:r w:rsidR="00E12147" w:rsidRPr="006B66E8">
        <w:rPr>
          <w:i/>
          <w:iCs/>
          <w:lang w:val="es-ES"/>
        </w:rPr>
        <w:noBreakHyphen/>
        <w:t>86 </w:t>
      </w:r>
      <w:r w:rsidRPr="006B66E8">
        <w:rPr>
          <w:i/>
          <w:iCs/>
          <w:lang w:val="es-ES"/>
        </w:rPr>
        <w:t xml:space="preserve">GHz por las estaciones de los servicios por satélite para garantizar la compatibilidad con los servicios pasivos, de conformidad con la Resolución </w:t>
      </w:r>
      <w:r w:rsidRPr="006B66E8">
        <w:rPr>
          <w:b/>
          <w:bCs/>
          <w:i/>
          <w:iCs/>
          <w:lang w:val="es-ES"/>
        </w:rPr>
        <w:t xml:space="preserve">776 </w:t>
      </w:r>
      <w:r w:rsidR="00E12147" w:rsidRPr="006B66E8">
        <w:rPr>
          <w:b/>
          <w:bCs/>
          <w:i/>
          <w:iCs/>
          <w:lang w:val="es-ES"/>
        </w:rPr>
        <w:t>(CMR</w:t>
      </w:r>
      <w:r w:rsidR="00E12147" w:rsidRPr="006B66E8">
        <w:rPr>
          <w:b/>
          <w:bCs/>
          <w:i/>
          <w:iCs/>
          <w:lang w:val="es-ES"/>
        </w:rPr>
        <w:noBreakHyphen/>
      </w:r>
      <w:r w:rsidRPr="006B66E8">
        <w:rPr>
          <w:b/>
          <w:bCs/>
          <w:i/>
          <w:iCs/>
          <w:lang w:val="es-ES"/>
        </w:rPr>
        <w:t>19)</w:t>
      </w:r>
      <w:r w:rsidRPr="006B66E8">
        <w:rPr>
          <w:i/>
          <w:iCs/>
          <w:lang w:val="es-ES"/>
        </w:rPr>
        <w:t>”.</w:t>
      </w:r>
    </w:p>
    <w:p w14:paraId="114B247C" w14:textId="77777777" w:rsidR="008907B5" w:rsidRPr="006B66E8" w:rsidRDefault="008907B5" w:rsidP="008907B5">
      <w:pPr>
        <w:spacing w:before="240" w:after="240"/>
        <w:ind w:left="567"/>
        <w:jc w:val="left"/>
        <w:rPr>
          <w:i/>
          <w:iCs/>
          <w:lang w:val="es-ES"/>
        </w:rPr>
      </w:pPr>
      <w:r w:rsidRPr="006B66E8">
        <w:rPr>
          <w:b/>
          <w:bCs/>
          <w:i/>
          <w:iCs/>
          <w:lang w:val="es-ES"/>
        </w:rPr>
        <w:t>Punto 2.7:</w:t>
      </w:r>
      <w:r w:rsidRPr="006B66E8">
        <w:rPr>
          <w:lang w:val="es-ES"/>
        </w:rPr>
        <w:t xml:space="preserve"> </w:t>
      </w:r>
      <w:r w:rsidRPr="006B66E8">
        <w:rPr>
          <w:i/>
          <w:iCs/>
          <w:lang w:val="es-ES"/>
        </w:rPr>
        <w:t>“considerar la elaboración de disposiciones reglamentarias para los enlaces de conexión de los sistemas de satélites no geoestacionarios del servicio fijo por satélite en las bandas de frecuencias 71-76 GHz (espacio-Tierra y la nueva propuesta en el sentido Tierra-espacio) y 81-86 GHz (Tierra-espacio), de conformidad con la Resolución</w:t>
      </w:r>
      <w:r w:rsidR="00E12147" w:rsidRPr="006B66E8">
        <w:rPr>
          <w:i/>
          <w:iCs/>
          <w:lang w:val="es-ES"/>
        </w:rPr>
        <w:t> </w:t>
      </w:r>
      <w:r w:rsidRPr="006B66E8">
        <w:rPr>
          <w:b/>
          <w:bCs/>
          <w:i/>
          <w:iCs/>
          <w:lang w:val="es-ES"/>
        </w:rPr>
        <w:t>178 (CMR-19)</w:t>
      </w:r>
      <w:r w:rsidRPr="006B66E8">
        <w:rPr>
          <w:i/>
          <w:iCs/>
          <w:lang w:val="es-ES"/>
        </w:rPr>
        <w:t>”.</w:t>
      </w:r>
    </w:p>
    <w:p w14:paraId="114B247D"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sz w:val="20"/>
          <w:szCs w:val="20"/>
          <w:lang w:val="es-ES"/>
        </w:rPr>
        <w:t>En el marco del punto 2.5 del orden del día preliminar de la Conferencia Mundial de Radiocomunicaciones de 2027 se pide la realización de estudios y la elaboración de disposiciones reglamentarias que podrían aplicarse para velar por la protección de los servicios pasivos, incluido el SETS (pasivo) en la banda de frecuencias de 86-92 GHz, frente a las operaciones de los satélites que operan en las bandas de frecuencias de 71</w:t>
      </w:r>
      <w:r w:rsidR="00700A1C" w:rsidRPr="006B66E8">
        <w:rPr>
          <w:rFonts w:ascii="Verdana" w:hAnsi="Verdana"/>
          <w:sz w:val="20"/>
          <w:szCs w:val="20"/>
          <w:lang w:val="es-ES"/>
        </w:rPr>
        <w:noBreakHyphen/>
      </w:r>
      <w:r w:rsidRPr="006B66E8">
        <w:rPr>
          <w:rFonts w:ascii="Verdana" w:hAnsi="Verdana"/>
          <w:sz w:val="20"/>
          <w:szCs w:val="20"/>
          <w:lang w:val="es-ES"/>
        </w:rPr>
        <w:t xml:space="preserve">76 GHz y de 81-86 GHz. La protección del SETS (pasivo) en la banda de 86-92 GHz mediante la aplicación de los límites de obligado cumplimiento dispuestos en la Resolución </w:t>
      </w:r>
      <w:r w:rsidRPr="006B66E8">
        <w:rPr>
          <w:rFonts w:ascii="Verdana" w:hAnsi="Verdana"/>
          <w:b/>
          <w:bCs/>
          <w:sz w:val="20"/>
          <w:szCs w:val="20"/>
          <w:lang w:val="es-ES"/>
        </w:rPr>
        <w:t>750 (CMR-19)</w:t>
      </w:r>
      <w:r w:rsidRPr="006B66E8">
        <w:rPr>
          <w:rFonts w:ascii="Verdana" w:hAnsi="Verdana"/>
          <w:sz w:val="20"/>
          <w:szCs w:val="20"/>
          <w:lang w:val="es-ES"/>
        </w:rPr>
        <w:t xml:space="preserve"> es una prioridad para la OMM. </w:t>
      </w:r>
      <w:r w:rsidRPr="006B66E8">
        <w:rPr>
          <w:rFonts w:ascii="Verdana" w:hAnsi="Verdana"/>
          <w:i/>
          <w:iCs/>
          <w:sz w:val="20"/>
          <w:szCs w:val="20"/>
          <w:lang w:val="es-ES"/>
        </w:rPr>
        <w:t>Este punto del orden del día preliminar está interrelacionado con los puntos 2.4 y 2.7 del orden del día preliminar y deben examinarse conjuntamente.</w:t>
      </w:r>
    </w:p>
    <w:p w14:paraId="114B247E" w14:textId="77777777" w:rsidR="008907B5" w:rsidRPr="006B66E8" w:rsidRDefault="008907B5" w:rsidP="00DE2F0C">
      <w:pPr>
        <w:pStyle w:val="ListParagraph"/>
        <w:spacing w:before="240" w:after="240"/>
        <w:ind w:left="567"/>
        <w:jc w:val="left"/>
        <w:rPr>
          <w:rFonts w:ascii="Verdana" w:hAnsi="Verdana"/>
          <w:sz w:val="20"/>
          <w:szCs w:val="20"/>
          <w:lang w:val="es-ES"/>
        </w:rPr>
      </w:pPr>
      <w:r w:rsidRPr="006B66E8">
        <w:rPr>
          <w:rFonts w:ascii="Verdana" w:hAnsi="Verdana"/>
          <w:b/>
          <w:bCs/>
          <w:sz w:val="20"/>
          <w:szCs w:val="20"/>
          <w:lang w:val="es-ES"/>
        </w:rPr>
        <w:t xml:space="preserve">Posición de la OMM: </w:t>
      </w:r>
      <w:r w:rsidRPr="006B66E8">
        <w:rPr>
          <w:rFonts w:ascii="Verdana" w:hAnsi="Verdana"/>
          <w:sz w:val="20"/>
          <w:szCs w:val="20"/>
          <w:lang w:val="es-ES"/>
        </w:rPr>
        <w:t xml:space="preserve">Los puntos 2.4, 2.5 y 2.7 del orden del día preliminar de la Conferencia Mundial de Radiocomunicaciones de 2027 tratan sobre las bandas de frecuencias de 71-76 GHz y de 81-86 GHz. Por consiguiente, si la Conferencia Mundial de Radiocomunicaciones de 2023 acuerda la inclusión de los puntos 2.4 o 2.7 en el orden </w:t>
      </w:r>
      <w:r w:rsidRPr="006B66E8">
        <w:rPr>
          <w:rFonts w:ascii="Verdana" w:hAnsi="Verdana"/>
          <w:sz w:val="20"/>
          <w:szCs w:val="20"/>
          <w:lang w:val="es-ES"/>
        </w:rPr>
        <w:lastRenderedPageBreak/>
        <w:t>del día de la Conferencia Mundial de Radiocomunicaciones de 2027, habría que incluir también el punto 2.5.</w:t>
      </w:r>
    </w:p>
    <w:p w14:paraId="114B247F"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sz w:val="20"/>
          <w:szCs w:val="20"/>
          <w:lang w:val="es-ES"/>
        </w:rPr>
        <w:t xml:space="preserve">Si alguno de estos puntos del orden del día preliminar se incluye en el orden del día de la Conferencia Mundial de Radiocomunicaciones de 2027, deberá tener en cuenta la protección de la atribución al SETS (pasivo) en la banda de frecuencias de 86-92 GHz. </w:t>
      </w:r>
    </w:p>
    <w:p w14:paraId="114B2480"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sz w:val="20"/>
          <w:szCs w:val="20"/>
          <w:lang w:val="es-ES"/>
        </w:rPr>
        <w:t>La OMM apoya la inclusión del punto 2.5 en el orden del día de la Conferencia Mundial de Radiocomunicaciones de 2027.</w:t>
      </w:r>
    </w:p>
    <w:p w14:paraId="114B2481" w14:textId="77777777" w:rsidR="008907B5" w:rsidRPr="006B66E8" w:rsidRDefault="008907B5" w:rsidP="00DE2F0C">
      <w:pPr>
        <w:pStyle w:val="ListParagraph"/>
        <w:numPr>
          <w:ilvl w:val="1"/>
          <w:numId w:val="10"/>
        </w:numPr>
        <w:suppressAutoHyphens/>
        <w:autoSpaceDN w:val="0"/>
        <w:spacing w:before="240" w:after="240"/>
        <w:ind w:left="567" w:hanging="567"/>
        <w:jc w:val="left"/>
        <w:textAlignment w:val="baseline"/>
        <w:rPr>
          <w:rFonts w:ascii="Verdana" w:hAnsi="Verdana"/>
          <w:sz w:val="20"/>
          <w:szCs w:val="20"/>
          <w:lang w:val="es-ES"/>
        </w:rPr>
      </w:pPr>
      <w:r w:rsidRPr="006B66E8">
        <w:rPr>
          <w:rFonts w:ascii="Verdana" w:hAnsi="Verdana"/>
          <w:b/>
          <w:bCs/>
          <w:i/>
          <w:iCs/>
          <w:sz w:val="20"/>
          <w:szCs w:val="20"/>
          <w:lang w:val="es-ES"/>
        </w:rPr>
        <w:t xml:space="preserve">Punto 2.6 del orden del día preliminar: </w:t>
      </w:r>
      <w:r w:rsidRPr="006B66E8">
        <w:rPr>
          <w:rFonts w:ascii="Verdana" w:hAnsi="Verdana"/>
          <w:i/>
          <w:iCs/>
          <w:sz w:val="20"/>
          <w:szCs w:val="20"/>
          <w:lang w:val="es-ES"/>
        </w:rPr>
        <w:t xml:space="preserve">“considerar las disposiciones reglamentarias necesarias para que en el Reglamento de Radiocomunicaciones se reconozcan debidamente y se protejan los sensores meteorológicos espaciales, habida cuenta de los resultados de los estudios del Sector de Radiocomunicaciones de la UIT que se presenten a la CMR-23 en el marco del punto 9.1 del orden del día y de la Resolución </w:t>
      </w:r>
      <w:r w:rsidRPr="006B66E8">
        <w:rPr>
          <w:rFonts w:ascii="Verdana" w:hAnsi="Verdana"/>
          <w:b/>
          <w:bCs/>
          <w:i/>
          <w:iCs/>
          <w:sz w:val="20"/>
          <w:szCs w:val="20"/>
          <w:lang w:val="es-ES"/>
        </w:rPr>
        <w:t>657 (Rev.CMR</w:t>
      </w:r>
      <w:r w:rsidR="00DB5E29" w:rsidRPr="006B66E8">
        <w:rPr>
          <w:rFonts w:ascii="Verdana" w:hAnsi="Verdana"/>
          <w:b/>
          <w:bCs/>
          <w:i/>
          <w:iCs/>
          <w:sz w:val="20"/>
          <w:szCs w:val="20"/>
          <w:lang w:val="es-ES"/>
        </w:rPr>
        <w:noBreakHyphen/>
      </w:r>
      <w:r w:rsidRPr="006B66E8">
        <w:rPr>
          <w:rFonts w:ascii="Verdana" w:hAnsi="Verdana"/>
          <w:b/>
          <w:bCs/>
          <w:i/>
          <w:iCs/>
          <w:sz w:val="20"/>
          <w:szCs w:val="20"/>
          <w:lang w:val="es-ES"/>
        </w:rPr>
        <w:t>19)</w:t>
      </w:r>
      <w:r w:rsidRPr="006B66E8">
        <w:rPr>
          <w:rFonts w:ascii="Verdana" w:hAnsi="Verdana"/>
          <w:i/>
          <w:iCs/>
          <w:sz w:val="20"/>
          <w:szCs w:val="20"/>
          <w:lang w:val="es-ES"/>
        </w:rPr>
        <w:t xml:space="preserve"> conexa”.</w:t>
      </w:r>
    </w:p>
    <w:p w14:paraId="114B2482"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sz w:val="20"/>
          <w:szCs w:val="20"/>
          <w:lang w:val="es-ES"/>
        </w:rPr>
        <w:t xml:space="preserve">Este punto se ha inscrito en el orden del día preliminar para someter a seguimiento </w:t>
      </w:r>
      <w:r w:rsidR="00D728C6" w:rsidRPr="006B66E8">
        <w:rPr>
          <w:rFonts w:ascii="Verdana" w:hAnsi="Verdana"/>
          <w:sz w:val="20"/>
          <w:szCs w:val="20"/>
          <w:lang w:val="es-ES"/>
        </w:rPr>
        <w:br/>
      </w:r>
      <w:r w:rsidRPr="006B66E8">
        <w:rPr>
          <w:rFonts w:ascii="Verdana" w:hAnsi="Verdana"/>
          <w:sz w:val="20"/>
          <w:szCs w:val="20"/>
          <w:lang w:val="es-ES"/>
        </w:rPr>
        <w:t xml:space="preserve">el tema A del punto 9.1 del orden del día de la Conferencia Mundial de Radiocomunicaciones de 2023. El seguimiento establecido en el marco del citado </w:t>
      </w:r>
      <w:r w:rsidR="00D728C6" w:rsidRPr="006B66E8">
        <w:rPr>
          <w:rFonts w:ascii="Verdana" w:hAnsi="Verdana"/>
          <w:sz w:val="20"/>
          <w:szCs w:val="20"/>
          <w:lang w:val="es-ES"/>
        </w:rPr>
        <w:br/>
      </w:r>
      <w:r w:rsidRPr="006B66E8">
        <w:rPr>
          <w:rFonts w:ascii="Verdana" w:hAnsi="Verdana"/>
          <w:sz w:val="20"/>
          <w:szCs w:val="20"/>
          <w:lang w:val="es-ES"/>
        </w:rPr>
        <w:t xml:space="preserve">punto del orden del día preliminar de la Conferencia Mundial de Radiocomunicaciones </w:t>
      </w:r>
      <w:r w:rsidR="00D728C6" w:rsidRPr="006B66E8">
        <w:rPr>
          <w:rFonts w:ascii="Verdana" w:hAnsi="Verdana"/>
          <w:sz w:val="20"/>
          <w:szCs w:val="20"/>
          <w:lang w:val="es-ES"/>
        </w:rPr>
        <w:br/>
      </w:r>
      <w:r w:rsidRPr="006B66E8">
        <w:rPr>
          <w:rFonts w:ascii="Verdana" w:hAnsi="Verdana"/>
          <w:sz w:val="20"/>
          <w:szCs w:val="20"/>
          <w:lang w:val="es-ES"/>
        </w:rPr>
        <w:t>de 2027 permitirá abordar las medidas ulteriores necesarias.</w:t>
      </w:r>
    </w:p>
    <w:p w14:paraId="114B2483" w14:textId="77777777" w:rsidR="008907B5" w:rsidRPr="006B66E8" w:rsidRDefault="008907B5" w:rsidP="008907B5">
      <w:pPr>
        <w:pStyle w:val="ListParagraph"/>
        <w:spacing w:before="240" w:after="240"/>
        <w:ind w:left="567" w:right="-170"/>
        <w:jc w:val="left"/>
        <w:rPr>
          <w:rFonts w:ascii="Verdana" w:hAnsi="Verdana"/>
          <w:sz w:val="20"/>
          <w:szCs w:val="20"/>
          <w:lang w:val="es-ES"/>
        </w:rPr>
      </w:pPr>
      <w:r w:rsidRPr="006B66E8">
        <w:rPr>
          <w:rFonts w:ascii="Verdana" w:hAnsi="Verdana"/>
          <w:b/>
          <w:bCs/>
          <w:sz w:val="20"/>
          <w:szCs w:val="20"/>
          <w:lang w:val="es-ES"/>
        </w:rPr>
        <w:t xml:space="preserve">Posición de la OMM: </w:t>
      </w:r>
      <w:r w:rsidRPr="006B66E8">
        <w:rPr>
          <w:rFonts w:ascii="Verdana" w:hAnsi="Verdana"/>
          <w:sz w:val="20"/>
          <w:szCs w:val="20"/>
          <w:lang w:val="es-ES"/>
        </w:rPr>
        <w:t>La OMM apoya la continuación de los estudios del UIT-R previstos en el marco del tema A del punto 9.1 del orden del día de la Conferencia Mundial de Radiocomunicaciones 2023 al amparo de un nuevo punto del orden del día de la Conferencia Mundial de Radiocomunicaciones de 2027, con el fin de definir las disposiciones reglamentarias del Reglamento de Radiocomunicaciones relativas a la meteorología del espacio sin imponer restricciones a los servicios existentes.</w:t>
      </w:r>
    </w:p>
    <w:p w14:paraId="114B2484" w14:textId="77777777" w:rsidR="008907B5" w:rsidRPr="006B66E8" w:rsidRDefault="008907B5" w:rsidP="00021A9C">
      <w:pPr>
        <w:pStyle w:val="ListParagraph"/>
        <w:numPr>
          <w:ilvl w:val="1"/>
          <w:numId w:val="10"/>
        </w:numPr>
        <w:suppressAutoHyphens/>
        <w:autoSpaceDN w:val="0"/>
        <w:spacing w:before="240" w:after="240"/>
        <w:ind w:left="567" w:hanging="567"/>
        <w:jc w:val="left"/>
        <w:textAlignment w:val="baseline"/>
        <w:rPr>
          <w:rFonts w:ascii="Verdana" w:hAnsi="Verdana"/>
          <w:sz w:val="20"/>
          <w:szCs w:val="20"/>
          <w:lang w:val="es-ES"/>
        </w:rPr>
      </w:pPr>
      <w:r w:rsidRPr="006B66E8">
        <w:rPr>
          <w:rFonts w:ascii="Verdana" w:hAnsi="Verdana"/>
          <w:b/>
          <w:bCs/>
          <w:i/>
          <w:iCs/>
          <w:sz w:val="20"/>
          <w:szCs w:val="20"/>
          <w:lang w:val="es-ES"/>
        </w:rPr>
        <w:t xml:space="preserve">Punto 2.11 del orden del día preliminar: </w:t>
      </w:r>
      <w:r w:rsidRPr="006B66E8">
        <w:rPr>
          <w:rFonts w:ascii="Verdana" w:hAnsi="Verdana"/>
          <w:i/>
          <w:iCs/>
          <w:sz w:val="20"/>
          <w:szCs w:val="20"/>
          <w:lang w:val="es-ES"/>
        </w:rPr>
        <w:t xml:space="preserve">“considerar la posibilidad de efectuar </w:t>
      </w:r>
      <w:r w:rsidR="00021A9C" w:rsidRPr="006B66E8">
        <w:rPr>
          <w:rFonts w:ascii="Verdana" w:hAnsi="Verdana"/>
          <w:i/>
          <w:iCs/>
          <w:sz w:val="20"/>
          <w:szCs w:val="20"/>
          <w:lang w:val="es-ES"/>
        </w:rPr>
        <w:br/>
      </w:r>
      <w:r w:rsidRPr="006B66E8">
        <w:rPr>
          <w:rFonts w:ascii="Verdana" w:hAnsi="Verdana"/>
          <w:i/>
          <w:iCs/>
          <w:sz w:val="20"/>
          <w:szCs w:val="20"/>
          <w:lang w:val="es-ES"/>
        </w:rPr>
        <w:t xml:space="preserve">una nueva atribución al servicio de exploración de la Tierra por satélite (Tierra-espacio) en la banda de frecuencias 22,55-23,15 GHz, de conformidad con la Resolución </w:t>
      </w:r>
      <w:r w:rsidRPr="006B66E8">
        <w:rPr>
          <w:rFonts w:ascii="Verdana" w:hAnsi="Verdana"/>
          <w:b/>
          <w:bCs/>
          <w:i/>
          <w:iCs/>
          <w:sz w:val="20"/>
          <w:szCs w:val="20"/>
          <w:lang w:val="es-ES"/>
        </w:rPr>
        <w:t>664 (CMR</w:t>
      </w:r>
      <w:r w:rsidR="00021A9C" w:rsidRPr="006B66E8">
        <w:rPr>
          <w:rFonts w:ascii="Verdana" w:hAnsi="Verdana"/>
          <w:b/>
          <w:bCs/>
          <w:i/>
          <w:iCs/>
          <w:sz w:val="20"/>
          <w:szCs w:val="20"/>
          <w:lang w:val="es-ES"/>
        </w:rPr>
        <w:noBreakHyphen/>
      </w:r>
      <w:r w:rsidRPr="006B66E8">
        <w:rPr>
          <w:rFonts w:ascii="Verdana" w:hAnsi="Verdana"/>
          <w:b/>
          <w:bCs/>
          <w:i/>
          <w:iCs/>
          <w:sz w:val="20"/>
          <w:szCs w:val="20"/>
          <w:lang w:val="es-ES"/>
        </w:rPr>
        <w:t>19)</w:t>
      </w:r>
      <w:r w:rsidRPr="006B66E8">
        <w:rPr>
          <w:rFonts w:ascii="Verdana" w:hAnsi="Verdana"/>
          <w:i/>
          <w:iCs/>
          <w:sz w:val="20"/>
          <w:szCs w:val="20"/>
          <w:lang w:val="es-ES"/>
        </w:rPr>
        <w:t>”.</w:t>
      </w:r>
    </w:p>
    <w:p w14:paraId="114B2485"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sz w:val="20"/>
          <w:szCs w:val="20"/>
          <w:lang w:val="es-ES"/>
        </w:rPr>
        <w:t>En el marco de este punto del orden del día preliminar se pide que se considere la posibilidad de realizar una nueva atribución al SETS (Tierra-espacio) en la banda de frecuencias de 22,55-23,15 GHz, banda que se emparejará con la banda de 25,5-27 GHz atribuida actualmente al SETS (espacio-Tierra). La nueva atribución al SETS redundaría en beneficio de la OMM.</w:t>
      </w:r>
    </w:p>
    <w:p w14:paraId="114B2486"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b/>
          <w:bCs/>
          <w:sz w:val="20"/>
          <w:szCs w:val="20"/>
          <w:lang w:val="es-ES"/>
        </w:rPr>
        <w:t xml:space="preserve">Posición de la OMM: </w:t>
      </w:r>
      <w:r w:rsidRPr="006B66E8">
        <w:rPr>
          <w:rFonts w:ascii="Verdana" w:hAnsi="Verdana"/>
          <w:sz w:val="20"/>
          <w:szCs w:val="20"/>
          <w:lang w:val="es-ES"/>
        </w:rPr>
        <w:t>La OMM apoya la inclusión de este punto del orden del día preliminar en el orden del día de la Conferencia Mundial de Radiocomunicaciones de 2027, habida cuenta de las actuales atribuciones a la investigación espacial y al servicio entre satélites.</w:t>
      </w:r>
    </w:p>
    <w:p w14:paraId="114B2487" w14:textId="77777777" w:rsidR="008907B5" w:rsidRPr="006B66E8" w:rsidRDefault="008907B5" w:rsidP="00021A9C">
      <w:pPr>
        <w:pStyle w:val="ListParagraph"/>
        <w:numPr>
          <w:ilvl w:val="1"/>
          <w:numId w:val="10"/>
        </w:numPr>
        <w:suppressAutoHyphens/>
        <w:autoSpaceDN w:val="0"/>
        <w:spacing w:before="240" w:after="240"/>
        <w:ind w:left="567" w:hanging="567"/>
        <w:jc w:val="left"/>
        <w:textAlignment w:val="baseline"/>
        <w:rPr>
          <w:rFonts w:ascii="Verdana" w:hAnsi="Verdana"/>
          <w:sz w:val="20"/>
          <w:szCs w:val="20"/>
          <w:lang w:val="es-ES"/>
        </w:rPr>
      </w:pPr>
      <w:r w:rsidRPr="006B66E8">
        <w:rPr>
          <w:rFonts w:ascii="Verdana" w:hAnsi="Verdana"/>
          <w:b/>
          <w:bCs/>
          <w:i/>
          <w:iCs/>
          <w:sz w:val="20"/>
          <w:szCs w:val="20"/>
          <w:lang w:val="es-ES"/>
        </w:rPr>
        <w:t xml:space="preserve">Punto 2.13 del orden del día preliminar: </w:t>
      </w:r>
      <w:r w:rsidRPr="006B66E8">
        <w:rPr>
          <w:rFonts w:ascii="Verdana" w:hAnsi="Verdana"/>
          <w:i/>
          <w:iCs/>
          <w:sz w:val="20"/>
          <w:szCs w:val="20"/>
          <w:lang w:val="es-ES"/>
        </w:rPr>
        <w:t xml:space="preserve">“considerar la posibilidad de efectuar una atribución mundial al servicio móvil por satélite para el desarrollo futuro de los sistemas móviles por satélite de banda estrecha en la gama de frecuencias 1,5-5 GHz, de conformidad con la Resolución </w:t>
      </w:r>
      <w:r w:rsidRPr="006B66E8">
        <w:rPr>
          <w:rFonts w:ascii="Verdana" w:hAnsi="Verdana"/>
          <w:b/>
          <w:bCs/>
          <w:i/>
          <w:iCs/>
          <w:sz w:val="20"/>
          <w:szCs w:val="20"/>
          <w:lang w:val="es-ES"/>
        </w:rPr>
        <w:t>248 (CMR-19)</w:t>
      </w:r>
      <w:r w:rsidRPr="006B66E8">
        <w:rPr>
          <w:rFonts w:ascii="Verdana" w:hAnsi="Verdana"/>
          <w:i/>
          <w:iCs/>
          <w:sz w:val="20"/>
          <w:szCs w:val="20"/>
          <w:lang w:val="es-ES"/>
        </w:rPr>
        <w:t>”.</w:t>
      </w:r>
    </w:p>
    <w:p w14:paraId="114B2488" w14:textId="77777777" w:rsidR="008907B5" w:rsidRPr="006B66E8" w:rsidRDefault="008907B5" w:rsidP="008907B5">
      <w:pPr>
        <w:pStyle w:val="ListParagraph"/>
        <w:spacing w:before="240" w:after="240"/>
        <w:ind w:left="567" w:right="-170"/>
        <w:jc w:val="left"/>
        <w:rPr>
          <w:rFonts w:ascii="Verdana" w:hAnsi="Verdana"/>
          <w:sz w:val="20"/>
          <w:szCs w:val="20"/>
          <w:lang w:val="es-ES"/>
        </w:rPr>
      </w:pPr>
      <w:r w:rsidRPr="006B66E8">
        <w:rPr>
          <w:rFonts w:ascii="Verdana" w:hAnsi="Verdana"/>
          <w:sz w:val="20"/>
          <w:szCs w:val="20"/>
          <w:lang w:val="es-ES"/>
        </w:rPr>
        <w:t xml:space="preserve">Este punto del orden del día preliminar parece ser una copia del punto 1.18 del orden del día de la Conferencia Mundial de Radiocomunicaciones de 2023. No queda claro el motivo por el que se ha incluido en el orden del día preliminar de la Conferencia Mundial de Radiocomunicaciones de 2027. </w:t>
      </w:r>
    </w:p>
    <w:p w14:paraId="114B2489"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sz w:val="20"/>
          <w:szCs w:val="20"/>
          <w:lang w:val="es-ES"/>
        </w:rPr>
        <w:lastRenderedPageBreak/>
        <w:t>Véase el punto 1.18 del orden del día de la Conferencia Mundial de Radiocomunicaciones de 2023 para conocer la cuestión sujeta a debate y la posición de la OMM al respecto.</w:t>
      </w:r>
    </w:p>
    <w:p w14:paraId="114B248A" w14:textId="77777777" w:rsidR="008907B5" w:rsidRPr="006B66E8" w:rsidRDefault="008907B5" w:rsidP="008907B5">
      <w:pPr>
        <w:pStyle w:val="ListParagraph"/>
        <w:spacing w:before="240" w:after="240"/>
        <w:ind w:left="567"/>
        <w:jc w:val="left"/>
        <w:rPr>
          <w:rFonts w:ascii="Verdana" w:hAnsi="Verdana"/>
          <w:b/>
          <w:bCs/>
          <w:sz w:val="20"/>
          <w:szCs w:val="20"/>
          <w:lang w:val="es-ES"/>
        </w:rPr>
      </w:pPr>
      <w:r w:rsidRPr="006B66E8">
        <w:rPr>
          <w:rFonts w:ascii="Verdana" w:hAnsi="Verdana"/>
          <w:b/>
          <w:bCs/>
          <w:sz w:val="20"/>
          <w:szCs w:val="20"/>
          <w:lang w:val="es-ES"/>
        </w:rPr>
        <w:t xml:space="preserve">Posición de la OMM: </w:t>
      </w:r>
      <w:r w:rsidRPr="006B66E8">
        <w:rPr>
          <w:rFonts w:ascii="Verdana" w:hAnsi="Verdana"/>
          <w:sz w:val="20"/>
          <w:szCs w:val="20"/>
          <w:lang w:val="es-ES"/>
        </w:rPr>
        <w:t xml:space="preserve">En opinión de la OMM, es necesario perfeccionar este punto </w:t>
      </w:r>
      <w:r w:rsidR="00674998" w:rsidRPr="006B66E8">
        <w:rPr>
          <w:rFonts w:ascii="Verdana" w:hAnsi="Verdana"/>
          <w:sz w:val="20"/>
          <w:szCs w:val="20"/>
          <w:lang w:val="es-ES"/>
        </w:rPr>
        <w:br/>
      </w:r>
      <w:r w:rsidRPr="006B66E8">
        <w:rPr>
          <w:rFonts w:ascii="Verdana" w:hAnsi="Verdana"/>
          <w:sz w:val="20"/>
          <w:szCs w:val="20"/>
          <w:lang w:val="es-ES"/>
        </w:rPr>
        <w:t xml:space="preserve">del orden del día preliminar y reducir su alcance para evitar dificultades similares </w:t>
      </w:r>
      <w:r w:rsidR="00674998" w:rsidRPr="006B66E8">
        <w:rPr>
          <w:rFonts w:ascii="Verdana" w:hAnsi="Verdana"/>
          <w:sz w:val="20"/>
          <w:szCs w:val="20"/>
          <w:lang w:val="es-ES"/>
        </w:rPr>
        <w:br/>
      </w:r>
      <w:r w:rsidRPr="006B66E8">
        <w:rPr>
          <w:rFonts w:ascii="Verdana" w:hAnsi="Verdana"/>
          <w:sz w:val="20"/>
          <w:szCs w:val="20"/>
          <w:lang w:val="es-ES"/>
        </w:rPr>
        <w:t xml:space="preserve">a las que plantea el punto 1.18 del orden del día de la Conferencia Mundial de Radiocomunicaciones de 2023. La OMM también estima que, dados los resultados </w:t>
      </w:r>
      <w:r w:rsidR="00674998" w:rsidRPr="006B66E8">
        <w:rPr>
          <w:rFonts w:ascii="Verdana" w:hAnsi="Verdana"/>
          <w:sz w:val="20"/>
          <w:szCs w:val="20"/>
          <w:lang w:val="es-ES"/>
        </w:rPr>
        <w:br/>
      </w:r>
      <w:r w:rsidRPr="006B66E8">
        <w:rPr>
          <w:rFonts w:ascii="Verdana" w:hAnsi="Verdana"/>
          <w:sz w:val="20"/>
          <w:szCs w:val="20"/>
          <w:lang w:val="es-ES"/>
        </w:rPr>
        <w:t>de los estudios realizados en el marco del punto 1.18 del orden del día de esta conferencia, no debería reconsiderarse la banda de frecuencias de 1 675-1 710 MHz.</w:t>
      </w:r>
    </w:p>
    <w:p w14:paraId="114B248B" w14:textId="77777777" w:rsidR="008907B5" w:rsidRPr="006B66E8" w:rsidRDefault="008907B5" w:rsidP="00021A9C">
      <w:pPr>
        <w:pStyle w:val="ListParagraph"/>
        <w:numPr>
          <w:ilvl w:val="1"/>
          <w:numId w:val="10"/>
        </w:numPr>
        <w:suppressAutoHyphens/>
        <w:autoSpaceDN w:val="0"/>
        <w:spacing w:before="240" w:after="240"/>
        <w:ind w:left="567" w:hanging="567"/>
        <w:jc w:val="left"/>
        <w:textAlignment w:val="baseline"/>
        <w:rPr>
          <w:rFonts w:ascii="Verdana" w:hAnsi="Verdana"/>
          <w:b/>
          <w:i/>
          <w:iCs/>
          <w:sz w:val="20"/>
          <w:szCs w:val="20"/>
          <w:lang w:val="es-ES"/>
        </w:rPr>
      </w:pPr>
      <w:r w:rsidRPr="006B66E8">
        <w:rPr>
          <w:rFonts w:ascii="Verdana" w:hAnsi="Verdana"/>
          <w:b/>
          <w:bCs/>
          <w:i/>
          <w:iCs/>
          <w:sz w:val="20"/>
          <w:szCs w:val="20"/>
          <w:lang w:val="es-ES"/>
        </w:rPr>
        <w:t>Posibles nuevos puntos del orden del día de la Conferencia Mundial de Radiocomunicaciones de 2027 sugeridos por la OMM</w:t>
      </w:r>
    </w:p>
    <w:p w14:paraId="114B248C"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sz w:val="20"/>
          <w:szCs w:val="20"/>
          <w:lang w:val="es-ES"/>
        </w:rPr>
        <w:t>La OMM apoya la in</w:t>
      </w:r>
      <w:r w:rsidR="00674998" w:rsidRPr="006B66E8">
        <w:rPr>
          <w:rFonts w:ascii="Verdana" w:hAnsi="Verdana"/>
          <w:sz w:val="20"/>
          <w:szCs w:val="20"/>
          <w:lang w:val="es-ES"/>
        </w:rPr>
        <w:t xml:space="preserve">scripción </w:t>
      </w:r>
      <w:r w:rsidRPr="006B66E8">
        <w:rPr>
          <w:rFonts w:ascii="Verdana" w:hAnsi="Verdana"/>
          <w:sz w:val="20"/>
          <w:szCs w:val="20"/>
          <w:lang w:val="es-ES"/>
        </w:rPr>
        <w:t>del siguiente punto en el orden del día de la Conferencia Mundial de Radiocomunicaciones de 2027:</w:t>
      </w:r>
    </w:p>
    <w:p w14:paraId="114B248D" w14:textId="77777777" w:rsidR="008907B5" w:rsidRPr="006B66E8" w:rsidRDefault="008907B5" w:rsidP="00021A9C">
      <w:pPr>
        <w:pStyle w:val="ListParagraph"/>
        <w:tabs>
          <w:tab w:val="left" w:pos="4253"/>
        </w:tabs>
        <w:spacing w:before="240" w:after="240"/>
        <w:ind w:left="4253" w:hanging="3686"/>
        <w:jc w:val="left"/>
        <w:rPr>
          <w:rFonts w:ascii="Verdana" w:hAnsi="Verdana"/>
          <w:sz w:val="20"/>
          <w:szCs w:val="20"/>
          <w:lang w:val="es-ES"/>
        </w:rPr>
      </w:pPr>
      <w:r w:rsidRPr="006B66E8">
        <w:rPr>
          <w:rFonts w:ascii="Verdana" w:hAnsi="Verdana"/>
          <w:sz w:val="20"/>
          <w:szCs w:val="20"/>
          <w:lang w:val="es-ES"/>
        </w:rPr>
        <w:t>Punto 1.xx del orden del día:</w:t>
      </w:r>
      <w:r w:rsidRPr="006B66E8">
        <w:rPr>
          <w:rFonts w:ascii="Verdana" w:hAnsi="Verdana"/>
          <w:sz w:val="20"/>
          <w:szCs w:val="20"/>
          <w:lang w:val="es-ES"/>
        </w:rPr>
        <w:tab/>
      </w:r>
      <w:r w:rsidRPr="006B66E8">
        <w:rPr>
          <w:rFonts w:ascii="Verdana" w:hAnsi="Verdana"/>
          <w:i/>
          <w:iCs/>
          <w:sz w:val="20"/>
          <w:szCs w:val="20"/>
          <w:lang w:val="es-ES"/>
        </w:rPr>
        <w:t>considerar, sobre la base de los resultados de los estudios del UIT-R, posibles medidas reglamentarias relativas a la protección del SETS (pasivo) en las bandas de frecuencias por encima de 86 GHz</w:t>
      </w:r>
      <w:r w:rsidR="00674998" w:rsidRPr="006B66E8">
        <w:rPr>
          <w:rFonts w:ascii="Verdana" w:hAnsi="Verdana"/>
          <w:i/>
          <w:iCs/>
          <w:sz w:val="20"/>
          <w:szCs w:val="20"/>
          <w:lang w:val="es-ES"/>
        </w:rPr>
        <w:t xml:space="preserve"> frente a las emisiones no deseadas de servicios activos</w:t>
      </w:r>
      <w:r w:rsidRPr="006B66E8">
        <w:rPr>
          <w:rFonts w:ascii="Verdana" w:hAnsi="Verdana"/>
          <w:i/>
          <w:iCs/>
          <w:sz w:val="20"/>
          <w:szCs w:val="20"/>
          <w:lang w:val="es-ES"/>
        </w:rPr>
        <w:t>.</w:t>
      </w:r>
    </w:p>
    <w:p w14:paraId="114B248E" w14:textId="77777777" w:rsidR="008907B5" w:rsidRPr="006B66E8" w:rsidRDefault="008907B5" w:rsidP="008907B5">
      <w:pPr>
        <w:pStyle w:val="ListParagraph"/>
        <w:spacing w:before="240" w:after="240"/>
        <w:ind w:left="567"/>
        <w:jc w:val="left"/>
        <w:rPr>
          <w:rFonts w:ascii="Verdana" w:hAnsi="Verdana"/>
          <w:sz w:val="20"/>
          <w:szCs w:val="20"/>
          <w:lang w:val="es-ES"/>
        </w:rPr>
      </w:pPr>
      <w:r w:rsidRPr="006B66E8">
        <w:rPr>
          <w:rFonts w:ascii="Verdana" w:hAnsi="Verdana"/>
          <w:sz w:val="20"/>
          <w:szCs w:val="20"/>
          <w:lang w:val="es-ES"/>
        </w:rPr>
        <w:t xml:space="preserve">Las bandas de frecuencias atribuidas al SETS (pasivo) revisten sumo interés para la OMM. En la Conferencia Mundial de Radiocomunicaciones de 2007 se aprobó la Resolución 750 para garantizar la compatibilidad entre el SETS (pasivo) y los servicios activos pertinentes en las bandas de frecuencias señaladas en el </w:t>
      </w:r>
      <w:r w:rsidRPr="006B66E8">
        <w:rPr>
          <w:rFonts w:ascii="Verdana" w:hAnsi="Verdana"/>
          <w:b/>
          <w:bCs/>
          <w:sz w:val="20"/>
          <w:szCs w:val="20"/>
          <w:lang w:val="es-ES"/>
        </w:rPr>
        <w:t xml:space="preserve">número 5.340 </w:t>
      </w:r>
      <w:r w:rsidRPr="006B66E8">
        <w:rPr>
          <w:rFonts w:ascii="Verdana" w:hAnsi="Verdana"/>
          <w:sz w:val="20"/>
          <w:szCs w:val="20"/>
          <w:lang w:val="es-ES"/>
        </w:rPr>
        <w:t xml:space="preserve">del Reglamento de Radiocomunicaciones. </w:t>
      </w:r>
    </w:p>
    <w:p w14:paraId="114B248F" w14:textId="77777777" w:rsidR="008907B5" w:rsidRPr="006B66E8" w:rsidRDefault="008907B5" w:rsidP="008907B5">
      <w:pPr>
        <w:spacing w:before="240" w:after="240"/>
        <w:ind w:left="567"/>
        <w:jc w:val="left"/>
        <w:rPr>
          <w:lang w:val="es-ES"/>
        </w:rPr>
      </w:pPr>
      <w:r w:rsidRPr="006B66E8">
        <w:rPr>
          <w:lang w:val="es-ES"/>
        </w:rPr>
        <w:t>Sin embargo, algunas bandas de frecuencias, señaladas en el número 5.340 del Reglamento de Radiocomunicaciones, aún no se han incluido en la citada resolución. El objetivo de esta propuesta de punto del orden del día de la Conferencia Mundial de Radiocomunicaciones de 2027 es elaborar disposiciones reglamentarias para garantizar la utilización a largo plazo del SETS (pasivo) en las bandas de frecuencias aún no con</w:t>
      </w:r>
      <w:r w:rsidR="008229A3" w:rsidRPr="006B66E8">
        <w:rPr>
          <w:lang w:val="es-ES"/>
        </w:rPr>
        <w:t>t</w:t>
      </w:r>
      <w:r w:rsidRPr="006B66E8">
        <w:rPr>
          <w:lang w:val="es-ES"/>
        </w:rPr>
        <w:t>empladas en la Resolución 750 (CMR-07).</w:t>
      </w:r>
    </w:p>
    <w:p w14:paraId="114B2490" w14:textId="77777777" w:rsidR="008907B5" w:rsidRPr="006B66E8" w:rsidRDefault="008907B5" w:rsidP="008907B5">
      <w:pPr>
        <w:tabs>
          <w:tab w:val="left" w:pos="720"/>
        </w:tabs>
        <w:jc w:val="left"/>
        <w:rPr>
          <w:iCs/>
          <w:lang w:val="es-ES"/>
        </w:rPr>
      </w:pPr>
      <w:r w:rsidRPr="006B66E8">
        <w:rPr>
          <w:iCs/>
          <w:lang w:val="es-ES"/>
        </w:rPr>
        <w:br w:type="page"/>
      </w:r>
    </w:p>
    <w:p w14:paraId="114B2491" w14:textId="77777777" w:rsidR="008907B5" w:rsidRPr="006B66E8" w:rsidRDefault="008907B5" w:rsidP="008907B5">
      <w:pPr>
        <w:pStyle w:val="Heading1"/>
        <w:spacing w:before="240" w:after="240"/>
        <w:jc w:val="right"/>
        <w:rPr>
          <w:sz w:val="20"/>
          <w:szCs w:val="20"/>
          <w:lang w:val="es-ES"/>
        </w:rPr>
      </w:pPr>
      <w:r w:rsidRPr="006B66E8">
        <w:rPr>
          <w:sz w:val="20"/>
          <w:szCs w:val="20"/>
          <w:lang w:val="es-ES"/>
        </w:rPr>
        <w:lastRenderedPageBreak/>
        <w:t>ANEXO 1</w:t>
      </w:r>
    </w:p>
    <w:p w14:paraId="114B2492" w14:textId="77777777" w:rsidR="008907B5" w:rsidRPr="006B66E8" w:rsidRDefault="008907B5" w:rsidP="008907B5">
      <w:pPr>
        <w:pStyle w:val="ECBodyText-Centred"/>
        <w:spacing w:after="240"/>
        <w:rPr>
          <w:rFonts w:cs="Times New Roman"/>
          <w:b/>
          <w:lang w:val="es-ES"/>
        </w:rPr>
      </w:pPr>
      <w:r w:rsidRPr="006B66E8">
        <w:rPr>
          <w:b/>
          <w:bCs/>
          <w:lang w:val="es-ES"/>
        </w:rPr>
        <w:t xml:space="preserve">Inquietudes de la OMM respecto de la cuestión de la Resolución 731 (Rev.CMR-19) que actualmente aborda el UIT-R como seguimiento </w:t>
      </w:r>
      <w:r w:rsidR="00A31968" w:rsidRPr="006B66E8">
        <w:rPr>
          <w:b/>
          <w:bCs/>
          <w:lang w:val="es-ES"/>
        </w:rPr>
        <w:br/>
      </w:r>
      <w:r w:rsidRPr="006B66E8">
        <w:rPr>
          <w:b/>
          <w:bCs/>
          <w:lang w:val="es-ES"/>
        </w:rPr>
        <w:t>de la Conferencia Mundial de Radiocomunicaciones de 2019</w:t>
      </w:r>
    </w:p>
    <w:p w14:paraId="114B2493" w14:textId="77777777" w:rsidR="008907B5" w:rsidRPr="006B66E8" w:rsidRDefault="008907B5" w:rsidP="008907B5">
      <w:pPr>
        <w:pStyle w:val="ECBodyText-Centred"/>
        <w:spacing w:after="240"/>
        <w:ind w:right="-170"/>
        <w:jc w:val="left"/>
        <w:rPr>
          <w:rFonts w:cs="Times New Roman"/>
          <w:lang w:val="es-ES"/>
        </w:rPr>
      </w:pPr>
      <w:r w:rsidRPr="006B66E8">
        <w:rPr>
          <w:lang w:val="es-ES"/>
        </w:rPr>
        <w:t>La OMM observa y sigue los debates celebrados en el seno del UIT-R acerca de temas ajenos a las actividades preparatorias de la Conferencia Mundial de Radiocomunicaciones de 2023 que afectan a las bandas de frecuencias esenciales para la comunidad meteorológica. En la presente sección se señalan esas cuestiones y se expresa la posición de la OMM.</w:t>
      </w:r>
    </w:p>
    <w:p w14:paraId="114B2494" w14:textId="77777777" w:rsidR="008907B5" w:rsidRPr="006B66E8" w:rsidRDefault="008907B5" w:rsidP="008907B5">
      <w:pPr>
        <w:pStyle w:val="ECBodyText-Centred"/>
        <w:spacing w:after="240"/>
        <w:jc w:val="left"/>
        <w:rPr>
          <w:rFonts w:cs="Times New Roman"/>
          <w:b/>
          <w:lang w:val="es-ES"/>
        </w:rPr>
      </w:pPr>
      <w:r w:rsidRPr="006B66E8">
        <w:rPr>
          <w:b/>
          <w:bCs/>
          <w:lang w:val="es-ES"/>
        </w:rPr>
        <w:t>Resolución 731 (Rev.CMR-19)</w:t>
      </w:r>
    </w:p>
    <w:p w14:paraId="114B2495" w14:textId="77777777" w:rsidR="008907B5" w:rsidRPr="006B66E8" w:rsidRDefault="008907B5" w:rsidP="008907B5">
      <w:pPr>
        <w:pStyle w:val="ECBodyText-Centred"/>
        <w:spacing w:after="240"/>
        <w:jc w:val="left"/>
        <w:rPr>
          <w:lang w:val="es-ES"/>
        </w:rPr>
      </w:pPr>
      <w:r w:rsidRPr="006B66E8">
        <w:rPr>
          <w:lang w:val="es-ES"/>
        </w:rPr>
        <w:t xml:space="preserve">En la Resolución 731 (Rev.CMR-19) se examina la compartición </w:t>
      </w:r>
      <w:r w:rsidR="002D03CB" w:rsidRPr="006B66E8">
        <w:rPr>
          <w:lang w:val="es-ES"/>
        </w:rPr>
        <w:t xml:space="preserve">y la compatibilidad </w:t>
      </w:r>
      <w:r w:rsidRPr="006B66E8">
        <w:rPr>
          <w:lang w:val="es-ES"/>
        </w:rPr>
        <w:t>de bandas de frecuencias adyacentes entre los servicios pas</w:t>
      </w:r>
      <w:r w:rsidR="002D03CB" w:rsidRPr="006B66E8">
        <w:rPr>
          <w:lang w:val="es-ES"/>
        </w:rPr>
        <w:t>ivos y activos por encima de 71 </w:t>
      </w:r>
      <w:r w:rsidRPr="006B66E8">
        <w:rPr>
          <w:lang w:val="es-ES"/>
        </w:rPr>
        <w:t>GHz</w:t>
      </w:r>
      <w:r w:rsidR="002D03CB" w:rsidRPr="006B66E8">
        <w:rPr>
          <w:lang w:val="es-ES"/>
        </w:rPr>
        <w:t>.</w:t>
      </w:r>
    </w:p>
    <w:p w14:paraId="114B2496" w14:textId="77777777" w:rsidR="008907B5" w:rsidRPr="006B66E8" w:rsidRDefault="008907B5" w:rsidP="008907B5">
      <w:pPr>
        <w:pStyle w:val="ECBodyText-Centred"/>
        <w:spacing w:after="240"/>
        <w:jc w:val="left"/>
        <w:rPr>
          <w:rFonts w:cs="Times New Roman"/>
          <w:lang w:val="es-ES"/>
        </w:rPr>
      </w:pPr>
      <w:r w:rsidRPr="006B66E8">
        <w:rPr>
          <w:lang w:val="es-ES"/>
        </w:rPr>
        <w:t>En este contexto, se invita al UIT-R:</w:t>
      </w:r>
    </w:p>
    <w:p w14:paraId="114B2497" w14:textId="77777777" w:rsidR="008907B5" w:rsidRPr="006B66E8" w:rsidRDefault="008907B5" w:rsidP="008907B5">
      <w:pPr>
        <w:pStyle w:val="ECBodyText-Centred"/>
        <w:spacing w:after="240"/>
        <w:ind w:left="567" w:hanging="567"/>
        <w:jc w:val="left"/>
        <w:rPr>
          <w:rFonts w:cs="Times New Roman"/>
          <w:lang w:val="es-ES"/>
        </w:rPr>
      </w:pPr>
      <w:r w:rsidRPr="006B66E8">
        <w:rPr>
          <w:lang w:val="es-ES"/>
        </w:rPr>
        <w:t>1)</w:t>
      </w:r>
      <w:r w:rsidRPr="006B66E8">
        <w:rPr>
          <w:lang w:val="es-ES"/>
        </w:rPr>
        <w:tab/>
        <w:t>a que continúe sus estudios para determinar si es posible, y en qué condiciones, la compartición entre servicios activos y pasivos en las bandas de frecuencias por encima de 71 GHz, como 100-102 GHz, 116-122,25 GHz, 148,5-151,5 GHz, 174,8-191,8 GHz, 226-231,5 GHz y 235-238 GHz, pero sin limitarse a ellas;</w:t>
      </w:r>
    </w:p>
    <w:p w14:paraId="114B2498" w14:textId="77777777" w:rsidR="008907B5" w:rsidRPr="006B66E8" w:rsidRDefault="008907B5" w:rsidP="008907B5">
      <w:pPr>
        <w:pStyle w:val="ECBodyText-Centred"/>
        <w:spacing w:after="240"/>
        <w:ind w:left="567" w:hanging="567"/>
        <w:jc w:val="left"/>
        <w:rPr>
          <w:rFonts w:cs="Times New Roman"/>
          <w:lang w:val="es-ES"/>
        </w:rPr>
      </w:pPr>
      <w:r w:rsidRPr="006B66E8">
        <w:rPr>
          <w:lang w:val="es-ES"/>
        </w:rPr>
        <w:t>2)</w:t>
      </w:r>
      <w:r w:rsidRPr="006B66E8">
        <w:rPr>
          <w:lang w:val="es-ES"/>
        </w:rPr>
        <w:tab/>
        <w:t>a que lleve a cabo estudios para determinar las condiciones específicas que habría que establecer a las aplicaciones de los servicios móvil terrestre y fijo a fin de garantizar la protección de las aplicaciones del SETS (pasivo) en las bandas de frecuencias de 296</w:t>
      </w:r>
      <w:r w:rsidR="00E60419" w:rsidRPr="006B66E8">
        <w:rPr>
          <w:lang w:val="es-ES"/>
        </w:rPr>
        <w:noBreakHyphen/>
      </w:r>
      <w:r w:rsidRPr="006B66E8">
        <w:rPr>
          <w:lang w:val="es-ES"/>
        </w:rPr>
        <w:t>306</w:t>
      </w:r>
      <w:r w:rsidR="00E60419" w:rsidRPr="006B66E8">
        <w:rPr>
          <w:lang w:val="es-ES"/>
        </w:rPr>
        <w:t> </w:t>
      </w:r>
      <w:r w:rsidRPr="006B66E8">
        <w:rPr>
          <w:lang w:val="es-ES"/>
        </w:rPr>
        <w:t>GHz, 313-318 GHz y 333-356 GHz;</w:t>
      </w:r>
    </w:p>
    <w:p w14:paraId="114B2499" w14:textId="77777777" w:rsidR="008907B5" w:rsidRPr="006B66E8" w:rsidRDefault="008907B5" w:rsidP="008907B5">
      <w:pPr>
        <w:pStyle w:val="ECBodyText-Centred"/>
        <w:spacing w:after="240"/>
        <w:ind w:right="-170"/>
        <w:jc w:val="left"/>
        <w:rPr>
          <w:lang w:val="es-ES"/>
        </w:rPr>
      </w:pPr>
      <w:r w:rsidRPr="006B66E8">
        <w:rPr>
          <w:lang w:val="es-ES"/>
        </w:rPr>
        <w:t xml:space="preserve">La OMM reconoce la reciente tendencia hacia las aplicaciones de banda ancha, así como las crecientes necesidades de ancho de banda expresadas por el sector y la migración de esas aplicaciones a bandas de frecuencias más altas que los sensores pasivos de microondas utilizan intensamente. A raíz de las consideraciones reglamentarias de los distintos países, se planteó estudiar las condiciones de compartición de las bandas de frecuencias por encima de 71 GHz en el seno del UIT-R, de conformidad con el párrafo 1 del apartado "invita al Sector de Radiocomunicaciones de la UIT" de la Resolución </w:t>
      </w:r>
      <w:r w:rsidRPr="006B66E8">
        <w:rPr>
          <w:b/>
          <w:bCs/>
          <w:lang w:val="es-ES"/>
        </w:rPr>
        <w:t>731 (Rev.CMR-19)</w:t>
      </w:r>
      <w:r w:rsidRPr="006B66E8">
        <w:rPr>
          <w:lang w:val="es-ES"/>
        </w:rPr>
        <w:t xml:space="preserve">, incluidas las bandas que abarca la </w:t>
      </w:r>
      <w:r w:rsidRPr="006B66E8">
        <w:rPr>
          <w:b/>
          <w:bCs/>
          <w:lang w:val="es-ES"/>
        </w:rPr>
        <w:t xml:space="preserve">nota 5.340 </w:t>
      </w:r>
      <w:r w:rsidRPr="006B66E8">
        <w:rPr>
          <w:lang w:val="es-ES"/>
        </w:rPr>
        <w:t xml:space="preserve">del Reglamento de Radiocomunicaciones (en las que están prohibidas todas las emisiones). </w:t>
      </w:r>
    </w:p>
    <w:p w14:paraId="114B249A" w14:textId="77777777" w:rsidR="008907B5" w:rsidRPr="006B66E8" w:rsidRDefault="008907B5" w:rsidP="008907B5">
      <w:pPr>
        <w:pStyle w:val="ECBodyText-Centred"/>
        <w:spacing w:after="240"/>
        <w:ind w:right="-170"/>
        <w:jc w:val="left"/>
        <w:rPr>
          <w:lang w:val="es-ES"/>
        </w:rPr>
      </w:pPr>
      <w:r w:rsidRPr="006B66E8">
        <w:rPr>
          <w:lang w:val="es-ES"/>
        </w:rPr>
        <w:t>La OMM re</w:t>
      </w:r>
      <w:r w:rsidR="002D03CB" w:rsidRPr="006B66E8">
        <w:rPr>
          <w:lang w:val="es-ES"/>
        </w:rPr>
        <w:t>conoce, además, que el párrafo 2</w:t>
      </w:r>
      <w:r w:rsidRPr="006B66E8">
        <w:rPr>
          <w:lang w:val="es-ES"/>
        </w:rPr>
        <w:t xml:space="preserve"> del apartado indicado con anterioridad es una continuación del tema sujeto a debate en el punto 1.15 del orden del día de la Conferencia Mundial de Radiocomunicaciones de 2019, relativo a las condiciones de compartición de algunas bandas respecto de las cuales no fue posible identificar, en dicha conferencia, condiciones de compartición que hicieran viable la compartición con los sensores pasivos. Aunque no se dispone de nuevos elementos para proceder a una eventual reevaluación de la situación que condujo a las conclusiones de la Conferencia Mundial de Radiocomunicaciones de 2019, se constata que los debates prosiguen en los grupos de trabajo pertinentes del UIT-R, y ello es fuente de preocupación para la OMM. </w:t>
      </w:r>
    </w:p>
    <w:tbl>
      <w:tblPr>
        <w:tblW w:w="5000" w:type="pct"/>
        <w:tblCellMar>
          <w:left w:w="10" w:type="dxa"/>
          <w:right w:w="10" w:type="dxa"/>
        </w:tblCellMar>
        <w:tblLook w:val="04A0" w:firstRow="1" w:lastRow="0" w:firstColumn="1" w:lastColumn="0" w:noHBand="0" w:noVBand="1"/>
      </w:tblPr>
      <w:tblGrid>
        <w:gridCol w:w="9855"/>
      </w:tblGrid>
      <w:tr w:rsidR="008907B5" w:rsidRPr="00DB14AD" w14:paraId="114B24A0" w14:textId="77777777" w:rsidTr="008907B5">
        <w:trPr>
          <w:trHeight w:val="4422"/>
        </w:trPr>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249B" w14:textId="77777777" w:rsidR="008907B5" w:rsidRPr="006B66E8" w:rsidRDefault="008907B5">
            <w:pPr>
              <w:pStyle w:val="Headingb"/>
              <w:spacing w:before="240" w:after="240"/>
              <w:rPr>
                <w:rFonts w:ascii="Verdana" w:hAnsi="Verdana"/>
                <w:sz w:val="20"/>
                <w:lang w:val="es-ES"/>
              </w:rPr>
            </w:pPr>
            <w:r w:rsidRPr="006B66E8">
              <w:rPr>
                <w:rFonts w:ascii="Verdana" w:hAnsi="Verdana"/>
                <w:bCs/>
                <w:sz w:val="20"/>
                <w:lang w:val="es-ES"/>
              </w:rPr>
              <w:lastRenderedPageBreak/>
              <w:t>Posición de la OMM con respecto a la Resolución 731 (Rev.CMR-19)</w:t>
            </w:r>
          </w:p>
          <w:p w14:paraId="114B249C"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La OMM destaca que las bandas de frecuencias por encima de 71 GHz utilizadas por los sensores pasivos son recursos únicos en su género para las mediciones atmosféricas. Esas bandas pasivas son indispensables para los pronósticos meteorológicos y el monitoreo del clima.</w:t>
            </w:r>
          </w:p>
          <w:p w14:paraId="114B249D"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 xml:space="preserve">Preocupa a la OMM que, en el proceso de establecimiento de las condiciones de compartición en las bandas de frecuencias por encima de 71 GHz, en virtud del párrafo 1 del apartado "invita al Sector de Radiocomunicaciones de la UIT" de la Resolución </w:t>
            </w:r>
            <w:r w:rsidRPr="006B66E8">
              <w:rPr>
                <w:rFonts w:ascii="Verdana" w:hAnsi="Verdana"/>
                <w:b/>
                <w:bCs/>
                <w:sz w:val="20"/>
                <w:szCs w:val="20"/>
                <w:lang w:val="es-ES"/>
              </w:rPr>
              <w:t>731 (Rev.CMR-19)</w:t>
            </w:r>
            <w:r w:rsidRPr="006B66E8">
              <w:rPr>
                <w:rFonts w:ascii="Verdana" w:hAnsi="Verdana"/>
                <w:sz w:val="20"/>
                <w:szCs w:val="20"/>
                <w:lang w:val="es-ES"/>
              </w:rPr>
              <w:t xml:space="preserve">, se incluyan algunas bandas de frecuencias que están sujetas a lo dispuesto en la </w:t>
            </w:r>
            <w:r w:rsidR="0023579F" w:rsidRPr="006B66E8">
              <w:rPr>
                <w:rFonts w:ascii="Verdana" w:hAnsi="Verdana"/>
                <w:b/>
                <w:bCs/>
                <w:sz w:val="20"/>
                <w:szCs w:val="20"/>
                <w:lang w:val="es-ES"/>
              </w:rPr>
              <w:t>nota </w:t>
            </w:r>
            <w:r w:rsidRPr="006B66E8">
              <w:rPr>
                <w:rFonts w:ascii="Verdana" w:hAnsi="Verdana"/>
                <w:b/>
                <w:bCs/>
                <w:sz w:val="20"/>
                <w:szCs w:val="20"/>
                <w:lang w:val="es-ES"/>
              </w:rPr>
              <w:t xml:space="preserve">5.340 </w:t>
            </w:r>
            <w:r w:rsidRPr="006B66E8">
              <w:rPr>
                <w:rFonts w:ascii="Verdana" w:hAnsi="Verdana"/>
                <w:sz w:val="20"/>
                <w:szCs w:val="20"/>
                <w:lang w:val="es-ES"/>
              </w:rPr>
              <w:t xml:space="preserve">del Reglamento de Radiocomunicaciones. Los estudios realizados </w:t>
            </w:r>
            <w:r w:rsidR="0023579F" w:rsidRPr="006B66E8">
              <w:rPr>
                <w:rFonts w:ascii="Verdana" w:hAnsi="Verdana"/>
                <w:sz w:val="20"/>
                <w:szCs w:val="20"/>
                <w:lang w:val="es-ES"/>
              </w:rPr>
              <w:t xml:space="preserve">a raíz </w:t>
            </w:r>
            <w:r w:rsidRPr="006B66E8">
              <w:rPr>
                <w:rFonts w:ascii="Verdana" w:hAnsi="Verdana"/>
                <w:sz w:val="20"/>
                <w:szCs w:val="20"/>
                <w:lang w:val="es-ES"/>
              </w:rPr>
              <w:t>de la Resolución</w:t>
            </w:r>
            <w:r w:rsidR="0023579F" w:rsidRPr="006B66E8">
              <w:rPr>
                <w:rFonts w:ascii="Verdana" w:hAnsi="Verdana"/>
                <w:sz w:val="20"/>
                <w:szCs w:val="20"/>
                <w:lang w:val="es-ES"/>
              </w:rPr>
              <w:t> </w:t>
            </w:r>
            <w:r w:rsidRPr="006B66E8">
              <w:rPr>
                <w:rFonts w:ascii="Verdana" w:hAnsi="Verdana"/>
                <w:b/>
                <w:bCs/>
                <w:sz w:val="20"/>
                <w:szCs w:val="20"/>
                <w:lang w:val="es-ES"/>
              </w:rPr>
              <w:t>731 (Rev.CMR-19)</w:t>
            </w:r>
            <w:r w:rsidRPr="006B66E8">
              <w:rPr>
                <w:rFonts w:ascii="Verdana" w:hAnsi="Verdana"/>
                <w:sz w:val="20"/>
                <w:szCs w:val="20"/>
                <w:lang w:val="es-ES"/>
              </w:rPr>
              <w:t xml:space="preserve"> solo pueden llevarse a cabo con respecto a los servicios activos que puedan funcionar en bandas de frecuencias no señaladas en la </w:t>
            </w:r>
            <w:r w:rsidRPr="006B66E8">
              <w:rPr>
                <w:rFonts w:ascii="Verdana" w:hAnsi="Verdana"/>
                <w:b/>
                <w:bCs/>
                <w:sz w:val="20"/>
                <w:szCs w:val="20"/>
                <w:lang w:val="es-ES"/>
              </w:rPr>
              <w:t xml:space="preserve">nota 5.340 </w:t>
            </w:r>
            <w:r w:rsidRPr="006B66E8">
              <w:rPr>
                <w:rFonts w:ascii="Verdana" w:hAnsi="Verdana"/>
                <w:sz w:val="20"/>
                <w:szCs w:val="20"/>
                <w:lang w:val="es-ES"/>
              </w:rPr>
              <w:t xml:space="preserve">del Reglamento de Radiocomunicaciones. </w:t>
            </w:r>
          </w:p>
          <w:p w14:paraId="114B249E" w14:textId="77777777" w:rsidR="008907B5" w:rsidRPr="006B66E8" w:rsidRDefault="008907B5">
            <w:pPr>
              <w:pStyle w:val="Paragraph"/>
              <w:spacing w:before="240" w:after="240"/>
              <w:jc w:val="left"/>
              <w:rPr>
                <w:rFonts w:ascii="Verdana" w:hAnsi="Verdana"/>
                <w:b/>
                <w:bCs/>
                <w:sz w:val="20"/>
                <w:szCs w:val="20"/>
                <w:lang w:val="es-ES"/>
              </w:rPr>
            </w:pPr>
            <w:r w:rsidRPr="006B66E8">
              <w:rPr>
                <w:rFonts w:ascii="Verdana" w:hAnsi="Verdana"/>
                <w:sz w:val="20"/>
                <w:szCs w:val="20"/>
                <w:lang w:val="es-ES"/>
              </w:rPr>
              <w:t xml:space="preserve">La OMM apoya la revisión de la Resolución 731 (Rev.CMR-19) en el marco del punto 4 del orden del día de la Conferencia Mundial de Radiocomunicaciones de 2023, con el fin de aclarar que los estudios de compartición en banda no pueden realizarse en las bandas de frecuencias contempladas en la </w:t>
            </w:r>
            <w:r w:rsidRPr="006B66E8">
              <w:rPr>
                <w:rFonts w:ascii="Verdana" w:hAnsi="Verdana"/>
                <w:b/>
                <w:bCs/>
                <w:sz w:val="20"/>
                <w:szCs w:val="20"/>
                <w:lang w:val="es-ES"/>
              </w:rPr>
              <w:t xml:space="preserve">nota 5.340 </w:t>
            </w:r>
            <w:r w:rsidRPr="006B66E8">
              <w:rPr>
                <w:rFonts w:ascii="Verdana" w:hAnsi="Verdana"/>
                <w:sz w:val="20"/>
                <w:szCs w:val="20"/>
                <w:lang w:val="es-ES"/>
              </w:rPr>
              <w:t>del Reglamento de Radiocomunicaciones.</w:t>
            </w:r>
          </w:p>
          <w:p w14:paraId="114B249F" w14:textId="77777777" w:rsidR="008907B5" w:rsidRPr="006B66E8" w:rsidRDefault="008907B5">
            <w:pPr>
              <w:pStyle w:val="Paragraph"/>
              <w:spacing w:before="240" w:after="240"/>
              <w:jc w:val="left"/>
              <w:rPr>
                <w:rFonts w:ascii="Verdana" w:hAnsi="Verdana"/>
                <w:sz w:val="20"/>
                <w:szCs w:val="20"/>
                <w:lang w:val="es-ES"/>
              </w:rPr>
            </w:pPr>
            <w:r w:rsidRPr="006B66E8">
              <w:rPr>
                <w:rFonts w:ascii="Verdana" w:hAnsi="Verdana"/>
                <w:sz w:val="20"/>
                <w:szCs w:val="20"/>
                <w:lang w:val="es-ES"/>
              </w:rPr>
              <w:t xml:space="preserve">Además, la OMM también considera que todo nuevo estudio que se realice en virtud de la Resolución </w:t>
            </w:r>
            <w:r w:rsidRPr="006B66E8">
              <w:rPr>
                <w:rFonts w:ascii="Verdana" w:hAnsi="Verdana"/>
                <w:b/>
                <w:bCs/>
                <w:sz w:val="20"/>
                <w:szCs w:val="20"/>
                <w:lang w:val="es-ES"/>
              </w:rPr>
              <w:t>731 (Rev.CMR-19)</w:t>
            </w:r>
            <w:r w:rsidRPr="006B66E8">
              <w:rPr>
                <w:rFonts w:ascii="Verdana" w:hAnsi="Verdana"/>
                <w:sz w:val="20"/>
                <w:szCs w:val="20"/>
                <w:lang w:val="es-ES"/>
              </w:rPr>
              <w:t xml:space="preserve"> en lo concerniente a la repercusión de los servicios activos en los servicios pasivos solo debería llevarse a cabo cuando se evalúen las necesidades de espectro de los servicios activos debidamente justificadas.</w:t>
            </w:r>
          </w:p>
        </w:tc>
      </w:tr>
    </w:tbl>
    <w:p w14:paraId="114B24A1" w14:textId="77777777" w:rsidR="008907B5" w:rsidRPr="006B66E8" w:rsidRDefault="008907B5" w:rsidP="008907B5">
      <w:pPr>
        <w:spacing w:before="240" w:after="240"/>
        <w:jc w:val="left"/>
        <w:rPr>
          <w:lang w:val="es-ES"/>
        </w:rPr>
      </w:pPr>
      <w:r w:rsidRPr="006B66E8">
        <w:rPr>
          <w:lang w:val="es-ES"/>
        </w:rPr>
        <w:br w:type="page"/>
      </w:r>
    </w:p>
    <w:p w14:paraId="114B24A2" w14:textId="77777777" w:rsidR="008907B5" w:rsidRPr="006B66E8" w:rsidRDefault="008907B5" w:rsidP="008907B5">
      <w:pPr>
        <w:pStyle w:val="Heading1"/>
        <w:spacing w:before="240" w:after="240"/>
        <w:jc w:val="right"/>
        <w:rPr>
          <w:sz w:val="20"/>
          <w:szCs w:val="20"/>
          <w:lang w:val="es-ES"/>
        </w:rPr>
      </w:pPr>
      <w:r w:rsidRPr="006B66E8">
        <w:rPr>
          <w:sz w:val="20"/>
          <w:szCs w:val="20"/>
          <w:lang w:val="es-ES"/>
        </w:rPr>
        <w:lastRenderedPageBreak/>
        <w:t>ANEXO 2</w:t>
      </w:r>
    </w:p>
    <w:p w14:paraId="114B24A3" w14:textId="171EDEDB" w:rsidR="008907B5" w:rsidRPr="006B66E8" w:rsidRDefault="008907B5" w:rsidP="008907B5">
      <w:pPr>
        <w:pStyle w:val="ECBodyText-Centred"/>
        <w:spacing w:after="240"/>
        <w:rPr>
          <w:rFonts w:cs="Times New Roman"/>
          <w:b/>
          <w:lang w:val="es-ES"/>
        </w:rPr>
      </w:pPr>
      <w:r w:rsidRPr="006B66E8">
        <w:rPr>
          <w:b/>
          <w:bCs/>
          <w:lang w:val="es-ES"/>
        </w:rPr>
        <w:t xml:space="preserve">Inquietudes de la OMM respecto de los riesgos relativos a la futura utilización </w:t>
      </w:r>
      <w:r w:rsidR="00315829" w:rsidRPr="006B66E8">
        <w:rPr>
          <w:b/>
          <w:bCs/>
          <w:lang w:val="es-ES"/>
        </w:rPr>
        <w:br/>
      </w:r>
      <w:r w:rsidRPr="006B66E8">
        <w:rPr>
          <w:b/>
          <w:bCs/>
          <w:lang w:val="es-ES"/>
        </w:rPr>
        <w:t>de las bandas de frecuencias de 6</w:t>
      </w:r>
      <w:r w:rsidR="00315829" w:rsidRPr="006B66E8">
        <w:rPr>
          <w:b/>
          <w:bCs/>
          <w:lang w:val="es-ES"/>
        </w:rPr>
        <w:t> </w:t>
      </w:r>
      <w:r w:rsidRPr="006B66E8">
        <w:rPr>
          <w:b/>
          <w:bCs/>
          <w:lang w:val="es-ES"/>
        </w:rPr>
        <w:t>425-7</w:t>
      </w:r>
      <w:r w:rsidR="00315829" w:rsidRPr="006B66E8">
        <w:rPr>
          <w:b/>
          <w:bCs/>
          <w:lang w:val="es-ES"/>
        </w:rPr>
        <w:t> </w:t>
      </w:r>
      <w:r w:rsidRPr="006B66E8">
        <w:rPr>
          <w:b/>
          <w:bCs/>
          <w:lang w:val="es-ES"/>
        </w:rPr>
        <w:t>125</w:t>
      </w:r>
      <w:r w:rsidR="00315829" w:rsidRPr="006B66E8">
        <w:rPr>
          <w:b/>
          <w:bCs/>
          <w:lang w:val="es-ES"/>
        </w:rPr>
        <w:t> </w:t>
      </w:r>
      <w:r w:rsidRPr="006B66E8">
        <w:rPr>
          <w:b/>
          <w:bCs/>
          <w:lang w:val="es-ES"/>
        </w:rPr>
        <w:t>MHz en el SETS (pasivo)</w:t>
      </w:r>
    </w:p>
    <w:p w14:paraId="114B24A4" w14:textId="5ABC360D" w:rsidR="008907B5" w:rsidRPr="006B66E8" w:rsidRDefault="008907B5" w:rsidP="008907B5">
      <w:pPr>
        <w:pStyle w:val="ECBodyText-Centred"/>
        <w:spacing w:after="240"/>
        <w:ind w:right="-170"/>
        <w:jc w:val="left"/>
        <w:rPr>
          <w:rFonts w:cs="Times New Roman"/>
          <w:lang w:val="es-ES"/>
        </w:rPr>
      </w:pPr>
      <w:r w:rsidRPr="006B66E8">
        <w:rPr>
          <w:lang w:val="es-ES"/>
        </w:rPr>
        <w:t>La OMM observa los debates llevados a cabo en el seno del UIT-R en torno al punto 1.2 del orden del día de la Conferencia Mundial de Radiocomunicaciones de 2023, pero también la posible utilización futura de las bandas de frecuencias de 6</w:t>
      </w:r>
      <w:r w:rsidR="00315829" w:rsidRPr="006B66E8">
        <w:rPr>
          <w:lang w:val="es-ES"/>
        </w:rPr>
        <w:t> </w:t>
      </w:r>
      <w:r w:rsidRPr="006B66E8">
        <w:rPr>
          <w:lang w:val="es-ES"/>
        </w:rPr>
        <w:t>425-7</w:t>
      </w:r>
      <w:r w:rsidR="00315829" w:rsidRPr="006B66E8">
        <w:rPr>
          <w:lang w:val="es-ES"/>
        </w:rPr>
        <w:t> </w:t>
      </w:r>
      <w:r w:rsidRPr="006B66E8">
        <w:rPr>
          <w:lang w:val="es-ES"/>
        </w:rPr>
        <w:t>125</w:t>
      </w:r>
      <w:r w:rsidR="00315829" w:rsidRPr="006B66E8">
        <w:rPr>
          <w:lang w:val="es-ES"/>
        </w:rPr>
        <w:t> </w:t>
      </w:r>
      <w:r w:rsidRPr="006B66E8">
        <w:rPr>
          <w:lang w:val="es-ES"/>
        </w:rPr>
        <w:t>MHz en el marco de la atribución del servicio móvil al SETS (pasivo). En la presente sección se señalan esas cuestiones y se expresa la posición de la OMM al respecto.</w:t>
      </w:r>
    </w:p>
    <w:p w14:paraId="114B24A5" w14:textId="77777777" w:rsidR="008907B5" w:rsidRPr="006B66E8" w:rsidRDefault="008907B5" w:rsidP="008907B5">
      <w:pPr>
        <w:pStyle w:val="ECBodyText-Centred"/>
        <w:spacing w:after="240"/>
        <w:jc w:val="left"/>
        <w:rPr>
          <w:rFonts w:cs="Times New Roman"/>
          <w:b/>
          <w:lang w:val="es-ES"/>
        </w:rPr>
      </w:pPr>
      <w:r w:rsidRPr="006B66E8">
        <w:rPr>
          <w:b/>
          <w:bCs/>
          <w:lang w:val="es-ES"/>
        </w:rPr>
        <w:t>Situación reglamentaria</w:t>
      </w:r>
    </w:p>
    <w:p w14:paraId="114B24A6" w14:textId="0B1D3146" w:rsidR="008907B5" w:rsidRPr="006B66E8" w:rsidRDefault="008907B5" w:rsidP="008907B5">
      <w:pPr>
        <w:pStyle w:val="WMOBodyText"/>
        <w:spacing w:after="240"/>
        <w:rPr>
          <w:rStyle w:val="ECCParagraph"/>
          <w:rFonts w:ascii="Verdana" w:hAnsi="Verdana"/>
          <w:sz w:val="20"/>
          <w:szCs w:val="20"/>
          <w:lang w:val="es-ES"/>
        </w:rPr>
      </w:pPr>
      <w:r w:rsidRPr="006B66E8">
        <w:rPr>
          <w:lang w:val="es-ES"/>
        </w:rPr>
        <w:t xml:space="preserve">Durante los debates celebrados </w:t>
      </w:r>
      <w:r w:rsidR="00D2446B" w:rsidRPr="006B66E8">
        <w:rPr>
          <w:lang w:val="es-ES"/>
        </w:rPr>
        <w:t xml:space="preserve">para abordar </w:t>
      </w:r>
      <w:r w:rsidRPr="006B66E8">
        <w:rPr>
          <w:lang w:val="es-ES"/>
        </w:rPr>
        <w:t>el punto 1.2 del orden del día de la Conferencia Mundial de Radiocomunicaciones de 2023, se expresaron diferentes opiniones sobre la situación en cuanto al uso del SETS (pasivo) en las bandas de frecuencias de 6</w:t>
      </w:r>
      <w:r w:rsidR="0002239E" w:rsidRPr="006B66E8">
        <w:rPr>
          <w:lang w:val="es-ES"/>
        </w:rPr>
        <w:t> </w:t>
      </w:r>
      <w:r w:rsidRPr="006B66E8">
        <w:rPr>
          <w:lang w:val="es-ES"/>
        </w:rPr>
        <w:t>425-7</w:t>
      </w:r>
      <w:r w:rsidR="0002239E" w:rsidRPr="006B66E8">
        <w:rPr>
          <w:lang w:val="es-ES"/>
        </w:rPr>
        <w:t> </w:t>
      </w:r>
      <w:r w:rsidRPr="006B66E8">
        <w:rPr>
          <w:lang w:val="es-ES"/>
        </w:rPr>
        <w:t>075</w:t>
      </w:r>
      <w:r w:rsidR="0002239E" w:rsidRPr="006B66E8">
        <w:rPr>
          <w:lang w:val="es-ES"/>
        </w:rPr>
        <w:t> </w:t>
      </w:r>
      <w:r w:rsidRPr="006B66E8">
        <w:rPr>
          <w:lang w:val="es-ES"/>
        </w:rPr>
        <w:t>MHz y 7</w:t>
      </w:r>
      <w:r w:rsidR="0002239E" w:rsidRPr="006B66E8">
        <w:rPr>
          <w:lang w:val="es-ES"/>
        </w:rPr>
        <w:t> </w:t>
      </w:r>
      <w:r w:rsidRPr="006B66E8">
        <w:rPr>
          <w:lang w:val="es-ES"/>
        </w:rPr>
        <w:t>075-7</w:t>
      </w:r>
      <w:r w:rsidR="0002239E" w:rsidRPr="006B66E8">
        <w:rPr>
          <w:lang w:val="es-ES"/>
        </w:rPr>
        <w:t> </w:t>
      </w:r>
      <w:r w:rsidRPr="006B66E8">
        <w:rPr>
          <w:lang w:val="es-ES"/>
        </w:rPr>
        <w:t>250</w:t>
      </w:r>
      <w:r w:rsidR="0002239E" w:rsidRPr="006B66E8">
        <w:rPr>
          <w:lang w:val="es-ES"/>
        </w:rPr>
        <w:t> </w:t>
      </w:r>
      <w:r w:rsidRPr="006B66E8">
        <w:rPr>
          <w:lang w:val="es-ES"/>
        </w:rPr>
        <w:t>MHz.</w:t>
      </w:r>
    </w:p>
    <w:p w14:paraId="114B24A7" w14:textId="74A5FEC9" w:rsidR="008907B5" w:rsidRPr="006B66E8" w:rsidRDefault="008907B5" w:rsidP="008907B5">
      <w:pPr>
        <w:pStyle w:val="WMOBodyText"/>
        <w:spacing w:after="240"/>
        <w:rPr>
          <w:rStyle w:val="ECCParagraph"/>
          <w:rFonts w:ascii="Verdana" w:hAnsi="Verdana"/>
          <w:sz w:val="20"/>
          <w:szCs w:val="20"/>
          <w:lang w:val="es-ES"/>
        </w:rPr>
      </w:pPr>
      <w:r w:rsidRPr="006B66E8">
        <w:rPr>
          <w:lang w:val="es-ES"/>
        </w:rPr>
        <w:t xml:space="preserve">Se reconoce que en el Reglamento de Radiocomunicaciones no se otorga una atribución oficial at SETS (pasivo), pero en la </w:t>
      </w:r>
      <w:r w:rsidRPr="006B66E8">
        <w:rPr>
          <w:b/>
          <w:bCs/>
          <w:lang w:val="es-ES"/>
        </w:rPr>
        <w:t xml:space="preserve">nota 5.458 </w:t>
      </w:r>
      <w:r w:rsidRPr="006B66E8">
        <w:rPr>
          <w:lang w:val="es-ES"/>
        </w:rPr>
        <w:t xml:space="preserve">del Reglamento de Radiocomunicaciones se indica que las administraciones deberían tener en cuenta las necesidades del SETS (pasivo) y </w:t>
      </w:r>
      <w:r w:rsidR="00534BCA" w:rsidRPr="006B66E8">
        <w:rPr>
          <w:lang w:val="es-ES"/>
        </w:rPr>
        <w:br/>
      </w:r>
      <w:r w:rsidRPr="006B66E8">
        <w:rPr>
          <w:lang w:val="es-ES"/>
        </w:rPr>
        <w:t>del SIE (pasivo) a la hora de planificar la utilización futura de las bandas de frecuencias de 6 425</w:t>
      </w:r>
      <w:r w:rsidR="00534BCA" w:rsidRPr="006B66E8">
        <w:rPr>
          <w:lang w:val="es-ES"/>
        </w:rPr>
        <w:noBreakHyphen/>
      </w:r>
      <w:r w:rsidRPr="006B66E8">
        <w:rPr>
          <w:lang w:val="es-ES"/>
        </w:rPr>
        <w:t>7</w:t>
      </w:r>
      <w:r w:rsidR="00E60419" w:rsidRPr="006B66E8">
        <w:rPr>
          <w:lang w:val="es-ES"/>
        </w:rPr>
        <w:t> </w:t>
      </w:r>
      <w:r w:rsidRPr="006B66E8">
        <w:rPr>
          <w:lang w:val="es-ES"/>
        </w:rPr>
        <w:t>075</w:t>
      </w:r>
      <w:r w:rsidR="00E60419" w:rsidRPr="006B66E8">
        <w:rPr>
          <w:lang w:val="es-ES"/>
        </w:rPr>
        <w:t> </w:t>
      </w:r>
      <w:r w:rsidRPr="006B66E8">
        <w:rPr>
          <w:lang w:val="es-ES"/>
        </w:rPr>
        <w:t xml:space="preserve">MHz y de 7 075-7 250 MHz, dado que los sensores pasivos de microondas realizan las mediciones en esas bandas de frecuencias. </w:t>
      </w:r>
    </w:p>
    <w:p w14:paraId="114B24A8" w14:textId="2177DB1F" w:rsidR="008907B5" w:rsidRPr="006B66E8" w:rsidRDefault="008907B5" w:rsidP="008907B5">
      <w:pPr>
        <w:pStyle w:val="WMOBodyText"/>
        <w:spacing w:after="240"/>
        <w:rPr>
          <w:rStyle w:val="ECCParagraph"/>
          <w:rFonts w:ascii="Verdana" w:hAnsi="Verdana"/>
          <w:sz w:val="20"/>
          <w:szCs w:val="20"/>
          <w:lang w:val="es-ES"/>
        </w:rPr>
      </w:pPr>
      <w:r w:rsidRPr="006B66E8">
        <w:rPr>
          <w:lang w:val="es-ES"/>
        </w:rPr>
        <w:t xml:space="preserve">Durante los debates se convino en que los estudios relacionados con el punto 1.2 del orden del día de la Conferencia Mundial de Radiocomunicaciones de 2023 no tienen </w:t>
      </w:r>
      <w:r w:rsidR="001B419B" w:rsidRPr="006B66E8">
        <w:rPr>
          <w:lang w:val="es-ES"/>
        </w:rPr>
        <w:t xml:space="preserve">en </w:t>
      </w:r>
      <w:r w:rsidRPr="006B66E8">
        <w:rPr>
          <w:lang w:val="es-ES"/>
        </w:rPr>
        <w:t xml:space="preserve">cuenta el funcionamiento del SETS (pasivo) según lo previsto en la </w:t>
      </w:r>
      <w:r w:rsidRPr="006B66E8">
        <w:rPr>
          <w:b/>
          <w:bCs/>
          <w:lang w:val="es-ES"/>
        </w:rPr>
        <w:t>nota 5.458</w:t>
      </w:r>
      <w:r w:rsidRPr="006B66E8">
        <w:rPr>
          <w:lang w:val="es-ES"/>
        </w:rPr>
        <w:t xml:space="preserve"> del Reglamento de Radiocomunicaciones.</w:t>
      </w:r>
    </w:p>
    <w:p w14:paraId="114B24A9" w14:textId="77777777" w:rsidR="008907B5" w:rsidRPr="006B66E8" w:rsidRDefault="008907B5" w:rsidP="008907B5">
      <w:pPr>
        <w:pStyle w:val="ECBodyText-Centred"/>
        <w:spacing w:after="240"/>
        <w:jc w:val="left"/>
        <w:rPr>
          <w:b/>
          <w:lang w:val="es-ES"/>
        </w:rPr>
      </w:pPr>
      <w:r w:rsidRPr="006B66E8">
        <w:rPr>
          <w:b/>
          <w:bCs/>
          <w:lang w:val="es-ES"/>
        </w:rPr>
        <w:t>Uso operativo del SETS (pasivo) en esas bandas de frecuencias</w:t>
      </w:r>
    </w:p>
    <w:p w14:paraId="114B24AA" w14:textId="5E2480FC" w:rsidR="008907B5" w:rsidRPr="006B66E8" w:rsidRDefault="008907B5" w:rsidP="008907B5">
      <w:pPr>
        <w:pStyle w:val="WMOBodyText"/>
        <w:spacing w:after="240"/>
        <w:ind w:right="-170"/>
        <w:rPr>
          <w:rStyle w:val="ECCParagraph"/>
          <w:rFonts w:ascii="Verdana" w:hAnsi="Verdana"/>
          <w:sz w:val="20"/>
          <w:szCs w:val="20"/>
          <w:lang w:val="es-ES"/>
        </w:rPr>
      </w:pPr>
      <w:r w:rsidRPr="006B66E8">
        <w:rPr>
          <w:lang w:val="es-ES"/>
        </w:rPr>
        <w:t>Las gamas de frecuencias de 6 425-7 075 y 7 075-7 250 MHz son únicas en su género para las mediciones de los sensores del SETS (pasivo), ya que corresponden a la sensibilidad máxima a la temperatura de la superficie del mar. Así pues, en la actualidad esas mediciones de la temperatura de la superficie del mar se realizan principalmente en las gamas de frecuencias de 6</w:t>
      </w:r>
      <w:r w:rsidR="00F56BA3" w:rsidRPr="006B66E8">
        <w:rPr>
          <w:lang w:val="es-ES"/>
        </w:rPr>
        <w:t> </w:t>
      </w:r>
      <w:r w:rsidRPr="006B66E8">
        <w:rPr>
          <w:lang w:val="es-ES"/>
        </w:rPr>
        <w:t>425-7</w:t>
      </w:r>
      <w:r w:rsidR="00F56BA3" w:rsidRPr="006B66E8">
        <w:rPr>
          <w:lang w:val="es-ES"/>
        </w:rPr>
        <w:t> </w:t>
      </w:r>
      <w:r w:rsidRPr="006B66E8">
        <w:rPr>
          <w:lang w:val="es-ES"/>
        </w:rPr>
        <w:t>075 y de 7</w:t>
      </w:r>
      <w:r w:rsidR="00F56BA3" w:rsidRPr="006B66E8">
        <w:rPr>
          <w:lang w:val="es-ES"/>
        </w:rPr>
        <w:t> </w:t>
      </w:r>
      <w:r w:rsidRPr="006B66E8">
        <w:rPr>
          <w:lang w:val="es-ES"/>
        </w:rPr>
        <w:t>075-7</w:t>
      </w:r>
      <w:r w:rsidR="00F56BA3" w:rsidRPr="006B66E8">
        <w:rPr>
          <w:lang w:val="es-ES"/>
        </w:rPr>
        <w:t> </w:t>
      </w:r>
      <w:r w:rsidRPr="006B66E8">
        <w:rPr>
          <w:lang w:val="es-ES"/>
        </w:rPr>
        <w:t>250</w:t>
      </w:r>
      <w:r w:rsidR="00F56BA3" w:rsidRPr="006B66E8">
        <w:rPr>
          <w:lang w:val="es-ES"/>
        </w:rPr>
        <w:t> </w:t>
      </w:r>
      <w:r w:rsidRPr="006B66E8">
        <w:rPr>
          <w:lang w:val="es-ES"/>
        </w:rPr>
        <w:t>MHz.</w:t>
      </w:r>
    </w:p>
    <w:p w14:paraId="114B24AB" w14:textId="77777777" w:rsidR="008907B5" w:rsidRPr="006B66E8" w:rsidRDefault="008907B5" w:rsidP="008907B5">
      <w:pPr>
        <w:pStyle w:val="WMOBodyText"/>
        <w:spacing w:after="240"/>
        <w:ind w:right="-170"/>
        <w:rPr>
          <w:rStyle w:val="ECCParagraph"/>
          <w:rFonts w:ascii="Verdana" w:hAnsi="Verdana"/>
          <w:sz w:val="20"/>
          <w:szCs w:val="20"/>
          <w:lang w:val="es-ES"/>
        </w:rPr>
      </w:pPr>
      <w:r w:rsidRPr="006B66E8">
        <w:rPr>
          <w:lang w:val="es-ES"/>
        </w:rPr>
        <w:t>Esta variable, junto con la salinidad del océano, es uno de los motores de la circulación oceánica, que es esencial para cualquier modelo de predicción numérica del tiempo o de predicción numérica oceánica. La temperatura de la superficie del mar es también una variable crítica para los estudios climatológicos y para la evaluación de las tendencias de la temperatura a escala mundial, y es fundamental para comprender los intercambios de calor, gas y momento entre la atmósfera y el océano, así como también en los cálculos de la absorción de carbono atmosférico por parte del océano.</w:t>
      </w:r>
    </w:p>
    <w:p w14:paraId="114B24AC" w14:textId="77777777" w:rsidR="008907B5" w:rsidRPr="006B66E8" w:rsidRDefault="008907B5" w:rsidP="008907B5">
      <w:pPr>
        <w:pStyle w:val="ECBodyText-Centred"/>
        <w:spacing w:after="240"/>
        <w:jc w:val="left"/>
        <w:rPr>
          <w:b/>
          <w:lang w:val="es-ES"/>
        </w:rPr>
      </w:pPr>
      <w:r w:rsidRPr="006B66E8">
        <w:rPr>
          <w:b/>
          <w:bCs/>
          <w:lang w:val="es-ES"/>
        </w:rPr>
        <w:t>Riesgos de interferencias</w:t>
      </w:r>
      <w:r w:rsidRPr="006B66E8">
        <w:rPr>
          <w:lang w:val="es-ES"/>
        </w:rPr>
        <w:t xml:space="preserve"> </w:t>
      </w:r>
    </w:p>
    <w:p w14:paraId="114B24AD" w14:textId="0F590D03" w:rsidR="008907B5" w:rsidRPr="006B66E8" w:rsidRDefault="008907B5" w:rsidP="008907B5">
      <w:pPr>
        <w:spacing w:before="240" w:after="240"/>
        <w:jc w:val="left"/>
        <w:rPr>
          <w:rStyle w:val="ECCParagraph"/>
          <w:rFonts w:ascii="Verdana" w:eastAsia="Verdana" w:hAnsi="Verdana"/>
          <w:sz w:val="20"/>
          <w:szCs w:val="20"/>
          <w:lang w:val="es-ES"/>
        </w:rPr>
      </w:pPr>
      <w:r w:rsidRPr="006B66E8">
        <w:rPr>
          <w:lang w:val="es-ES"/>
        </w:rPr>
        <w:t>Teniendo en cuenta los resultados preliminares de los estudios proporcionados en el documento de trabajo preparado con miras a elaborar un informe preliminar RS.[SETS(pasivo)6-7 GHz], las mediciones de la temperatura de la superficie del mar se verían muy limitadas por el despliegue de alta densidad de sistemas de comunicación (por ejemplo, redes radioeléctricas de área local (RLAN) o IMT) en esta gama.</w:t>
      </w:r>
    </w:p>
    <w:p w14:paraId="114B24AE" w14:textId="77777777" w:rsidR="00E60419" w:rsidRPr="006B66E8" w:rsidRDefault="00E60419" w:rsidP="008907B5">
      <w:pPr>
        <w:pStyle w:val="ECBodyText-Centred"/>
        <w:spacing w:after="240"/>
        <w:jc w:val="left"/>
        <w:rPr>
          <w:b/>
          <w:bCs/>
          <w:lang w:val="es-ES"/>
        </w:rPr>
      </w:pPr>
      <w:r w:rsidRPr="006B66E8">
        <w:rPr>
          <w:b/>
          <w:bCs/>
          <w:lang w:val="es-ES"/>
        </w:rPr>
        <w:br w:type="page"/>
      </w:r>
    </w:p>
    <w:p w14:paraId="114B24AF" w14:textId="77777777" w:rsidR="008907B5" w:rsidRPr="006B66E8" w:rsidRDefault="008907B5" w:rsidP="008907B5">
      <w:pPr>
        <w:pStyle w:val="ECBodyText-Centred"/>
        <w:spacing w:after="240"/>
        <w:jc w:val="left"/>
        <w:rPr>
          <w:b/>
          <w:lang w:val="es-ES"/>
        </w:rPr>
      </w:pPr>
      <w:r w:rsidRPr="006B66E8">
        <w:rPr>
          <w:b/>
          <w:bCs/>
          <w:lang w:val="es-ES"/>
        </w:rPr>
        <w:lastRenderedPageBreak/>
        <w:t>Enfoque propuesto</w:t>
      </w:r>
    </w:p>
    <w:p w14:paraId="114B24B0" w14:textId="77777777" w:rsidR="008907B5" w:rsidRPr="006B66E8" w:rsidRDefault="008907B5" w:rsidP="008907B5">
      <w:pPr>
        <w:pStyle w:val="WMOBodyText"/>
        <w:spacing w:after="240"/>
        <w:rPr>
          <w:rStyle w:val="ECCParagraph"/>
          <w:rFonts w:ascii="Verdana" w:hAnsi="Verdana"/>
          <w:sz w:val="20"/>
          <w:szCs w:val="20"/>
          <w:lang w:val="es-ES"/>
        </w:rPr>
      </w:pPr>
      <w:r w:rsidRPr="006B66E8">
        <w:rPr>
          <w:lang w:val="es-ES"/>
        </w:rPr>
        <w:t>Con el fin de evitar que las mediciones de la temperatura de la superficie del mar, que revisten una importancia decisiva, sean inservibles si se producen estos despliegues de alta densidad, debe tenerse en cuenta el enfoque siguiente:</w:t>
      </w:r>
    </w:p>
    <w:p w14:paraId="114B24B1" w14:textId="77777777" w:rsidR="00E60419" w:rsidRPr="006B66E8" w:rsidRDefault="008907B5" w:rsidP="00E60419">
      <w:pPr>
        <w:suppressAutoHyphens/>
        <w:autoSpaceDN w:val="0"/>
        <w:spacing w:before="240" w:after="240"/>
        <w:ind w:left="567" w:hanging="567"/>
        <w:jc w:val="left"/>
        <w:textAlignment w:val="baseline"/>
        <w:rPr>
          <w:lang w:val="es-ES"/>
        </w:rPr>
      </w:pPr>
      <w:r w:rsidRPr="006B66E8">
        <w:rPr>
          <w:rStyle w:val="ECCParagraph"/>
          <w:rFonts w:ascii="Symbol" w:eastAsia="Verdana" w:hAnsi="Symbol"/>
          <w:sz w:val="20"/>
          <w:szCs w:val="20"/>
          <w:lang w:val="es-ES"/>
        </w:rPr>
        <w:t></w:t>
      </w:r>
      <w:r w:rsidRPr="006B66E8">
        <w:rPr>
          <w:rStyle w:val="ECCParagraph"/>
          <w:rFonts w:ascii="Symbol" w:eastAsia="Verdana" w:hAnsi="Symbol"/>
          <w:sz w:val="20"/>
          <w:szCs w:val="20"/>
          <w:lang w:val="es-ES"/>
        </w:rPr>
        <w:tab/>
      </w:r>
      <w:r w:rsidRPr="006B66E8">
        <w:rPr>
          <w:lang w:val="es-ES"/>
        </w:rPr>
        <w:t xml:space="preserve">Conviene que las administraciones tengan en cuenta las necesidades del SETS </w:t>
      </w:r>
      <w:r w:rsidR="00E60419" w:rsidRPr="006B66E8">
        <w:rPr>
          <w:lang w:val="es-ES"/>
        </w:rPr>
        <w:br/>
      </w:r>
      <w:r w:rsidRPr="006B66E8">
        <w:rPr>
          <w:lang w:val="es-ES"/>
        </w:rPr>
        <w:t>(pasivo) en la planificación de la utilización futura de las bandas de frecuencias de 6</w:t>
      </w:r>
      <w:r w:rsidR="00E60419" w:rsidRPr="006B66E8">
        <w:rPr>
          <w:lang w:val="es-ES"/>
        </w:rPr>
        <w:t> </w:t>
      </w:r>
      <w:r w:rsidRPr="006B66E8">
        <w:rPr>
          <w:lang w:val="es-ES"/>
        </w:rPr>
        <w:t>425</w:t>
      </w:r>
      <w:r w:rsidR="00E60419" w:rsidRPr="006B66E8">
        <w:rPr>
          <w:lang w:val="es-ES"/>
        </w:rPr>
        <w:noBreakHyphen/>
      </w:r>
      <w:r w:rsidRPr="006B66E8">
        <w:rPr>
          <w:lang w:val="es-ES"/>
        </w:rPr>
        <w:t>7</w:t>
      </w:r>
      <w:r w:rsidR="00E60419" w:rsidRPr="006B66E8">
        <w:rPr>
          <w:lang w:val="es-ES"/>
        </w:rPr>
        <w:t> </w:t>
      </w:r>
      <w:r w:rsidRPr="006B66E8">
        <w:rPr>
          <w:lang w:val="es-ES"/>
        </w:rPr>
        <w:t>075</w:t>
      </w:r>
      <w:r w:rsidR="00E60419" w:rsidRPr="006B66E8">
        <w:rPr>
          <w:lang w:val="es-ES"/>
        </w:rPr>
        <w:t> </w:t>
      </w:r>
      <w:r w:rsidRPr="006B66E8">
        <w:rPr>
          <w:lang w:val="es-ES"/>
        </w:rPr>
        <w:t xml:space="preserve">MHz y 7 075-7 250 MHz, de conformidad con lo dispuesto en la </w:t>
      </w:r>
      <w:r w:rsidRPr="006B66E8">
        <w:rPr>
          <w:b/>
          <w:bCs/>
          <w:lang w:val="es-ES"/>
        </w:rPr>
        <w:t xml:space="preserve">nota 5.458 </w:t>
      </w:r>
      <w:r w:rsidRPr="006B66E8">
        <w:rPr>
          <w:lang w:val="es-ES"/>
        </w:rPr>
        <w:t>del Reglamento de Radiocomunicaciones.</w:t>
      </w:r>
    </w:p>
    <w:p w14:paraId="114B24B2" w14:textId="77777777" w:rsidR="008907B5" w:rsidRPr="006B66E8" w:rsidRDefault="008907B5" w:rsidP="00E60419">
      <w:pPr>
        <w:suppressAutoHyphens/>
        <w:autoSpaceDN w:val="0"/>
        <w:spacing w:before="240" w:after="240"/>
        <w:ind w:left="567" w:hanging="567"/>
        <w:jc w:val="left"/>
        <w:textAlignment w:val="baseline"/>
        <w:rPr>
          <w:rStyle w:val="ECCParagraph"/>
          <w:rFonts w:ascii="Verdana" w:eastAsia="Verdana" w:hAnsi="Verdana"/>
          <w:sz w:val="20"/>
          <w:szCs w:val="20"/>
          <w:lang w:val="es-ES"/>
        </w:rPr>
      </w:pPr>
      <w:r w:rsidRPr="006B66E8">
        <w:rPr>
          <w:rStyle w:val="ECCParagraph"/>
          <w:rFonts w:ascii="Symbol" w:eastAsia="Verdana" w:hAnsi="Symbol"/>
          <w:sz w:val="20"/>
          <w:szCs w:val="20"/>
          <w:lang w:val="es-ES"/>
        </w:rPr>
        <w:t></w:t>
      </w:r>
      <w:r w:rsidRPr="006B66E8">
        <w:rPr>
          <w:rStyle w:val="ECCParagraph"/>
          <w:rFonts w:ascii="Symbol" w:eastAsia="Verdana" w:hAnsi="Symbol"/>
          <w:sz w:val="20"/>
          <w:szCs w:val="20"/>
          <w:lang w:val="es-ES"/>
        </w:rPr>
        <w:tab/>
      </w:r>
      <w:r w:rsidRPr="006B66E8">
        <w:rPr>
          <w:lang w:val="es-ES"/>
        </w:rPr>
        <w:t>Conviene considerar la posibilidad de realizar nuevas atribuciones al SETS (pasivo) en la gama de frecuencias de 4-10 GHz, en virtud de las cuales también puedan realizarse mediciones de la temperatura de la superficie del mar, aunque a costa de una menor sensibilidad con respecto a las realizadas en la gama de frecuencias de 6 425-7 075 MHz y de 7 075-7 250 MHz. Esta decisión debe adoptarse de manera oportuna para velar por la continuidad de las mediciones de la temperatura de la superficie del mar.</w:t>
      </w:r>
    </w:p>
    <w:p w14:paraId="114B24B3" w14:textId="77777777" w:rsidR="008907B5" w:rsidRPr="006B66E8" w:rsidRDefault="008907B5" w:rsidP="008907B5">
      <w:pPr>
        <w:pStyle w:val="ECBodyText-Centred"/>
        <w:spacing w:after="240"/>
        <w:rPr>
          <w:lang w:val="es-ES"/>
        </w:rPr>
      </w:pPr>
      <w:r w:rsidRPr="006B66E8">
        <w:rPr>
          <w:lang w:val="es-ES"/>
        </w:rPr>
        <w:t>______________</w:t>
      </w:r>
    </w:p>
    <w:p w14:paraId="114B24B4" w14:textId="77777777" w:rsidR="008907B5" w:rsidRPr="006B66E8" w:rsidRDefault="008907B5" w:rsidP="008907B5">
      <w:pPr>
        <w:tabs>
          <w:tab w:val="left" w:pos="720"/>
        </w:tabs>
        <w:jc w:val="left"/>
        <w:rPr>
          <w:rFonts w:eastAsia="Verdana" w:cs="Verdana"/>
          <w:lang w:val="es-ES" w:eastAsia="zh-TW"/>
        </w:rPr>
      </w:pPr>
      <w:r w:rsidRPr="006B66E8">
        <w:rPr>
          <w:lang w:val="es-ES"/>
        </w:rPr>
        <w:br w:type="page"/>
      </w:r>
      <w:bookmarkStart w:id="11" w:name="Annex2"/>
      <w:bookmarkEnd w:id="11"/>
    </w:p>
    <w:p w14:paraId="114B24B5" w14:textId="77777777" w:rsidR="008907B5" w:rsidRPr="006B66E8" w:rsidRDefault="008907B5" w:rsidP="008907B5">
      <w:pPr>
        <w:pStyle w:val="WMOBodyText"/>
        <w:jc w:val="center"/>
        <w:rPr>
          <w:lang w:val="es-ES"/>
        </w:rPr>
      </w:pPr>
      <w:r w:rsidRPr="006B66E8">
        <w:rPr>
          <w:b/>
          <w:bCs/>
          <w:lang w:val="es-ES"/>
        </w:rPr>
        <w:lastRenderedPageBreak/>
        <w:t>Proyecto de Resolución ##/1 (Cg-19)</w:t>
      </w:r>
    </w:p>
    <w:p w14:paraId="114B24B6" w14:textId="48793F7E" w:rsidR="008907B5" w:rsidRPr="006B66E8" w:rsidRDefault="006B14E7" w:rsidP="00657D87">
      <w:pPr>
        <w:pStyle w:val="Heading1"/>
        <w:spacing w:after="240"/>
        <w:rPr>
          <w:sz w:val="20"/>
          <w:szCs w:val="20"/>
          <w:lang w:val="es-ES"/>
        </w:rPr>
      </w:pPr>
      <w:bookmarkStart w:id="12" w:name="_Hlk120885686"/>
      <w:r w:rsidRPr="006B66E8">
        <w:rPr>
          <w:caps w:val="0"/>
          <w:sz w:val="20"/>
          <w:szCs w:val="20"/>
          <w:lang w:val="es-ES"/>
        </w:rPr>
        <w:t xml:space="preserve">Posición de la Organización Meteorológica Mundial con respecto al orden del día </w:t>
      </w:r>
      <w:r w:rsidRPr="006B66E8">
        <w:rPr>
          <w:caps w:val="0"/>
          <w:sz w:val="20"/>
          <w:szCs w:val="20"/>
          <w:lang w:val="es-ES"/>
        </w:rPr>
        <w:br/>
        <w:t>de la Conferencia Mundial de Radiocomunicaciones de 2023</w:t>
      </w:r>
    </w:p>
    <w:bookmarkEnd w:id="12"/>
    <w:p w14:paraId="114B24B7" w14:textId="77777777" w:rsidR="008907B5" w:rsidRPr="006B66E8" w:rsidRDefault="008907B5" w:rsidP="00657D87">
      <w:pPr>
        <w:pStyle w:val="WMOBodyText"/>
        <w:spacing w:before="360"/>
        <w:rPr>
          <w:lang w:val="es-ES"/>
        </w:rPr>
      </w:pPr>
      <w:r w:rsidRPr="006B66E8">
        <w:rPr>
          <w:lang w:val="es-ES"/>
        </w:rPr>
        <w:t>EL CONGRESO METEOROLÓGICO MUNDIAL,</w:t>
      </w:r>
    </w:p>
    <w:p w14:paraId="114B24B8" w14:textId="77777777" w:rsidR="008907B5" w:rsidRPr="006B66E8" w:rsidRDefault="008907B5" w:rsidP="008907B5">
      <w:pPr>
        <w:pStyle w:val="WMOBodyText"/>
        <w:rPr>
          <w:lang w:val="es-ES"/>
        </w:rPr>
      </w:pPr>
      <w:r w:rsidRPr="006B66E8">
        <w:rPr>
          <w:b/>
          <w:bCs/>
          <w:lang w:val="es-ES"/>
        </w:rPr>
        <w:t>Habiendo examinado</w:t>
      </w:r>
      <w:r w:rsidRPr="006B66E8">
        <w:rPr>
          <w:lang w:val="es-ES"/>
        </w:rPr>
        <w:t>:</w:t>
      </w:r>
    </w:p>
    <w:p w14:paraId="114B24B9" w14:textId="77777777" w:rsidR="008907B5" w:rsidRPr="006B66E8" w:rsidRDefault="008907B5" w:rsidP="008907B5">
      <w:pPr>
        <w:pStyle w:val="WMOBodyText"/>
        <w:ind w:left="567" w:right="-170" w:hanging="567"/>
        <w:rPr>
          <w:lang w:val="es-ES"/>
        </w:rPr>
      </w:pPr>
      <w:r w:rsidRPr="006B66E8">
        <w:rPr>
          <w:lang w:val="es-ES"/>
        </w:rPr>
        <w:t>1)</w:t>
      </w:r>
      <w:r w:rsidRPr="006B66E8">
        <w:rPr>
          <w:lang w:val="es-ES"/>
        </w:rPr>
        <w:tab/>
        <w:t xml:space="preserve">la </w:t>
      </w:r>
      <w:hyperlink w:anchor="_PROYECTO_DE_RECOMENDACIÓN" w:history="1">
        <w:r w:rsidRPr="006B66E8">
          <w:rPr>
            <w:rStyle w:val="Hyperlink"/>
            <w:lang w:val="es-ES"/>
          </w:rPr>
          <w:t>Recomendación 3.2(16)/1 (EC-76)</w:t>
        </w:r>
      </w:hyperlink>
      <w:r w:rsidRPr="006B66E8">
        <w:rPr>
          <w:lang w:val="es-ES"/>
        </w:rPr>
        <w:t xml:space="preserve"> — Posición de la Organización Meteorológica Mundial con respecto al orden del día de la Conferencia Mundial de Radiocomunicaciones de 2023,</w:t>
      </w:r>
    </w:p>
    <w:p w14:paraId="114B24BA" w14:textId="46E1A662" w:rsidR="008907B5" w:rsidRPr="006B66E8" w:rsidRDefault="008907B5" w:rsidP="008907B5">
      <w:pPr>
        <w:pStyle w:val="WMOBodyText"/>
        <w:ind w:left="567" w:hanging="567"/>
        <w:rPr>
          <w:lang w:val="es-ES"/>
        </w:rPr>
      </w:pPr>
      <w:r w:rsidRPr="006B66E8">
        <w:rPr>
          <w:lang w:val="es-ES"/>
        </w:rPr>
        <w:t>2)</w:t>
      </w:r>
      <w:r w:rsidRPr="006B66E8">
        <w:rPr>
          <w:lang w:val="es-ES"/>
        </w:rPr>
        <w:tab/>
        <w:t xml:space="preserve">la recomendación del Presidente de la Organización Meteorológica Mundial (OMM) sobre la aprobación de la </w:t>
      </w:r>
      <w:r w:rsidR="004A6930" w:rsidRPr="006B66E8">
        <w:rPr>
          <w:lang w:val="es-ES"/>
        </w:rPr>
        <w:t>versi</w:t>
      </w:r>
      <w:r w:rsidR="00B730D7" w:rsidRPr="006B66E8">
        <w:rPr>
          <w:lang w:val="es-ES"/>
        </w:rPr>
        <w:t xml:space="preserve">ón actualizada </w:t>
      </w:r>
      <w:r w:rsidR="00C80474" w:rsidRPr="006B66E8">
        <w:rPr>
          <w:lang w:val="es-ES"/>
        </w:rPr>
        <w:t xml:space="preserve">de la </w:t>
      </w:r>
      <w:r w:rsidRPr="006B66E8">
        <w:rPr>
          <w:lang w:val="es-ES"/>
        </w:rPr>
        <w:t xml:space="preserve">posición de la OMM </w:t>
      </w:r>
      <w:r w:rsidR="00C80474" w:rsidRPr="006B66E8">
        <w:rPr>
          <w:lang w:val="es-ES"/>
        </w:rPr>
        <w:t xml:space="preserve">con </w:t>
      </w:r>
      <w:r w:rsidRPr="006B66E8">
        <w:rPr>
          <w:lang w:val="es-ES"/>
        </w:rPr>
        <w:t>respecto al orden del día de la Conferencia Mundial de Radiocomunicaciones de 2023,</w:t>
      </w:r>
    </w:p>
    <w:p w14:paraId="114B24BB" w14:textId="77777777" w:rsidR="008907B5" w:rsidRPr="006B66E8" w:rsidRDefault="008907B5" w:rsidP="008907B5">
      <w:pPr>
        <w:pStyle w:val="WMOBodyText"/>
        <w:rPr>
          <w:bCs/>
          <w:spacing w:val="-4"/>
          <w:lang w:val="es-ES"/>
        </w:rPr>
      </w:pPr>
      <w:r w:rsidRPr="006B66E8">
        <w:rPr>
          <w:b/>
          <w:bCs/>
          <w:lang w:val="es-ES"/>
        </w:rPr>
        <w:t>Recordando</w:t>
      </w:r>
      <w:r w:rsidRPr="006B66E8">
        <w:rPr>
          <w:lang w:val="es-ES"/>
        </w:rPr>
        <w:t>:</w:t>
      </w:r>
    </w:p>
    <w:p w14:paraId="114B24BC" w14:textId="77777777" w:rsidR="008907B5" w:rsidRPr="006B66E8" w:rsidRDefault="008907B5" w:rsidP="008907B5">
      <w:pPr>
        <w:pStyle w:val="WMOBodyText"/>
        <w:ind w:left="567" w:hanging="567"/>
        <w:rPr>
          <w:spacing w:val="-4"/>
          <w:lang w:val="es-ES"/>
        </w:rPr>
      </w:pPr>
      <w:r w:rsidRPr="006B66E8">
        <w:rPr>
          <w:spacing w:val="-4"/>
          <w:lang w:val="es-ES"/>
        </w:rPr>
        <w:t>1)</w:t>
      </w:r>
      <w:r w:rsidRPr="006B66E8">
        <w:rPr>
          <w:spacing w:val="-4"/>
          <w:lang w:val="es-ES"/>
        </w:rPr>
        <w:tab/>
      </w:r>
      <w:r w:rsidRPr="006B66E8">
        <w:rPr>
          <w:lang w:val="es-ES"/>
        </w:rPr>
        <w:t xml:space="preserve">la </w:t>
      </w:r>
      <w:hyperlink r:id="rId15" w:anchor="page=168" w:history="1">
        <w:r w:rsidRPr="006B66E8">
          <w:rPr>
            <w:rStyle w:val="Hyperlink"/>
            <w:lang w:val="es-ES"/>
          </w:rPr>
          <w:t>Resolución 42 (Cg-18)</w:t>
        </w:r>
      </w:hyperlink>
      <w:r w:rsidRPr="006B66E8">
        <w:rPr>
          <w:lang w:val="es-ES"/>
        </w:rPr>
        <w:t xml:space="preserve"> — Frecuencias radioeléctricas para las actividades meteorológicas y medioambientales conexas,</w:t>
      </w:r>
    </w:p>
    <w:p w14:paraId="114B24BD" w14:textId="70DCE0E8" w:rsidR="008907B5" w:rsidRPr="006B66E8" w:rsidRDefault="008907B5" w:rsidP="001A0830">
      <w:pPr>
        <w:pStyle w:val="WMOBodyText"/>
        <w:spacing w:after="100" w:afterAutospacing="1"/>
        <w:ind w:left="567" w:hanging="567"/>
        <w:rPr>
          <w:lang w:val="es-ES"/>
        </w:rPr>
      </w:pPr>
      <w:r w:rsidRPr="006B66E8">
        <w:rPr>
          <w:lang w:val="es-ES"/>
        </w:rPr>
        <w:t>2)</w:t>
      </w:r>
      <w:r w:rsidRPr="006B66E8">
        <w:rPr>
          <w:lang w:val="es-ES"/>
        </w:rPr>
        <w:tab/>
        <w:t xml:space="preserve">el </w:t>
      </w:r>
      <w:hyperlink r:id="rId16" w:anchor="page=92" w:history="1">
        <w:r w:rsidRPr="006B66E8">
          <w:rPr>
            <w:rStyle w:val="Hyperlink"/>
            <w:lang w:val="es-ES"/>
          </w:rPr>
          <w:t>anexo a la Decisión 10 (EC-75)</w:t>
        </w:r>
      </w:hyperlink>
      <w:r w:rsidRPr="006B66E8">
        <w:rPr>
          <w:lang w:val="es-ES"/>
        </w:rPr>
        <w:t xml:space="preserve"> — Proyecto de esferas prioritarias para 2024-2027, </w:t>
      </w:r>
      <w:r w:rsidR="000E04C0" w:rsidRPr="006B66E8">
        <w:rPr>
          <w:lang w:val="es-ES"/>
        </w:rPr>
        <w:br/>
      </w:r>
      <w:r w:rsidRPr="006B66E8">
        <w:rPr>
          <w:lang w:val="es-ES"/>
        </w:rPr>
        <w:t xml:space="preserve">y en concreto las metas a largo plazo y objetivos estratégicos, incluido el Objetivo 2.1 — Optimización del proceso de adquisición de datos de observaciones del sistema Tierra a través del Sistema Mundial Integrado de Sistemas de Observación de la OMM (WIGOS), </w:t>
      </w:r>
      <w:r w:rsidR="000E04C0" w:rsidRPr="006B66E8">
        <w:rPr>
          <w:lang w:val="es-ES"/>
        </w:rPr>
        <w:br/>
      </w:r>
      <w:r w:rsidRPr="006B66E8">
        <w:rPr>
          <w:lang w:val="es-ES"/>
        </w:rPr>
        <w:t>y la sostenibilidad medioambiental conexa:</w:t>
      </w:r>
    </w:p>
    <w:p w14:paraId="114B24BE" w14:textId="68A7DDE3" w:rsidR="008907B5" w:rsidRPr="006B66E8" w:rsidRDefault="008907B5" w:rsidP="008907B5">
      <w:pPr>
        <w:pStyle w:val="WMOBodyText"/>
        <w:spacing w:before="0"/>
        <w:ind w:left="1134" w:hanging="567"/>
        <w:rPr>
          <w:spacing w:val="-4"/>
          <w:lang w:val="es-ES"/>
        </w:rPr>
      </w:pPr>
      <w:r w:rsidRPr="006B66E8">
        <w:rPr>
          <w:rFonts w:ascii="Symbol" w:hAnsi="Symbol"/>
          <w:spacing w:val="-4"/>
          <w:lang w:val="es-ES"/>
        </w:rPr>
        <w:t></w:t>
      </w:r>
      <w:r w:rsidRPr="006B66E8">
        <w:rPr>
          <w:rFonts w:ascii="Symbol" w:hAnsi="Symbol"/>
          <w:spacing w:val="-4"/>
          <w:lang w:val="es-ES"/>
        </w:rPr>
        <w:tab/>
      </w:r>
      <w:r w:rsidRPr="006B66E8">
        <w:rPr>
          <w:lang w:val="es-ES"/>
        </w:rPr>
        <w:t>protección del espectro de radiofrecuencias para fines de observación de la Tierra</w:t>
      </w:r>
      <w:r w:rsidR="000E04C0" w:rsidRPr="006B66E8">
        <w:rPr>
          <w:lang w:val="es-ES"/>
        </w:rPr>
        <w:t>,</w:t>
      </w:r>
    </w:p>
    <w:p w14:paraId="114B24BF" w14:textId="77777777" w:rsidR="008907B5" w:rsidRPr="006B66E8" w:rsidRDefault="008907B5" w:rsidP="008907B5">
      <w:pPr>
        <w:pStyle w:val="WMOBodyText"/>
        <w:ind w:right="-170"/>
        <w:rPr>
          <w:b/>
          <w:bCs/>
          <w:lang w:val="es-ES"/>
        </w:rPr>
      </w:pPr>
      <w:r w:rsidRPr="006B66E8">
        <w:rPr>
          <w:b/>
          <w:bCs/>
          <w:lang w:val="es-ES"/>
        </w:rPr>
        <w:t>Considerando</w:t>
      </w:r>
      <w:r w:rsidRPr="006B66E8">
        <w:rPr>
          <w:lang w:val="es-ES"/>
        </w:rPr>
        <w:t>:</w:t>
      </w:r>
    </w:p>
    <w:p w14:paraId="114B24C0" w14:textId="68A2B930" w:rsidR="008907B5" w:rsidRPr="006B66E8" w:rsidRDefault="008907B5" w:rsidP="008907B5">
      <w:pPr>
        <w:pStyle w:val="WMOBodyText"/>
        <w:ind w:left="567" w:right="-170" w:hanging="567"/>
        <w:rPr>
          <w:lang w:val="es-ES"/>
        </w:rPr>
      </w:pPr>
      <w:r w:rsidRPr="006B66E8">
        <w:rPr>
          <w:lang w:val="es-ES"/>
        </w:rPr>
        <w:t>1)</w:t>
      </w:r>
      <w:r w:rsidRPr="006B66E8">
        <w:rPr>
          <w:lang w:val="es-ES"/>
        </w:rPr>
        <w:tab/>
        <w:t xml:space="preserve">la importancia primordial </w:t>
      </w:r>
      <w:r w:rsidR="00085BDA" w:rsidRPr="006B66E8">
        <w:rPr>
          <w:lang w:val="es-ES"/>
        </w:rPr>
        <w:t xml:space="preserve">que </w:t>
      </w:r>
      <w:r w:rsidRPr="006B66E8">
        <w:rPr>
          <w:lang w:val="es-ES"/>
        </w:rPr>
        <w:t xml:space="preserve">los servicios de radiocomunicación </w:t>
      </w:r>
      <w:r w:rsidR="00085BDA" w:rsidRPr="006B66E8">
        <w:rPr>
          <w:lang w:val="es-ES"/>
        </w:rPr>
        <w:t xml:space="preserve">revisten </w:t>
      </w:r>
      <w:r w:rsidRPr="006B66E8">
        <w:rPr>
          <w:lang w:val="es-ES"/>
        </w:rPr>
        <w:t>para las actividades meteorológicas y medioambientales conexas necesari</w:t>
      </w:r>
      <w:r w:rsidR="00085BDA" w:rsidRPr="006B66E8">
        <w:rPr>
          <w:lang w:val="es-ES"/>
        </w:rPr>
        <w:t>a</w:t>
      </w:r>
      <w:r w:rsidRPr="006B66E8">
        <w:rPr>
          <w:lang w:val="es-ES"/>
        </w:rPr>
        <w:t>s para la detección y la alerta temprana de riesgos</w:t>
      </w:r>
      <w:r w:rsidR="001872F9" w:rsidRPr="006B66E8">
        <w:rPr>
          <w:lang w:val="es-ES"/>
        </w:rPr>
        <w:t>,</w:t>
      </w:r>
      <w:r w:rsidRPr="006B66E8">
        <w:rPr>
          <w:lang w:val="es-ES"/>
        </w:rPr>
        <w:t xml:space="preserve"> la prevención de los desastres naturales y tecnológicos (de origen humano)</w:t>
      </w:r>
      <w:r w:rsidR="001872F9" w:rsidRPr="006B66E8">
        <w:rPr>
          <w:lang w:val="es-ES"/>
        </w:rPr>
        <w:t xml:space="preserve"> y la mitigación de sus efectos</w:t>
      </w:r>
      <w:r w:rsidRPr="006B66E8">
        <w:rPr>
          <w:lang w:val="es-ES"/>
        </w:rPr>
        <w:t>, la seguridad de la vida y los bienes, la protección del medioambiente, los estudios sobre el cambio climático y la investigación científica,</w:t>
      </w:r>
    </w:p>
    <w:p w14:paraId="114B24C1" w14:textId="77777777" w:rsidR="008907B5" w:rsidRPr="006B66E8" w:rsidRDefault="008907B5" w:rsidP="008907B5">
      <w:pPr>
        <w:pStyle w:val="WMOBodyText"/>
        <w:ind w:left="567" w:right="-170" w:hanging="567"/>
        <w:rPr>
          <w:spacing w:val="-2"/>
          <w:lang w:val="es-ES"/>
        </w:rPr>
      </w:pPr>
      <w:r w:rsidRPr="006B66E8">
        <w:rPr>
          <w:spacing w:val="-2"/>
          <w:lang w:val="es-ES"/>
        </w:rPr>
        <w:t>2)</w:t>
      </w:r>
      <w:r w:rsidRPr="006B66E8">
        <w:rPr>
          <w:spacing w:val="-2"/>
          <w:lang w:val="es-ES"/>
        </w:rPr>
        <w:tab/>
      </w:r>
      <w:r w:rsidRPr="006B66E8">
        <w:rPr>
          <w:lang w:val="es-ES"/>
        </w:rPr>
        <w:t>la importancia de la información facilitada por los sistemas de exploración de la Tierra, y en particular los sistemas meteorológicos, para una amplia gama de actividades económicas, como la agricultura, el transporte, la construcción y el turismo,</w:t>
      </w:r>
    </w:p>
    <w:p w14:paraId="114B24C2" w14:textId="77777777" w:rsidR="008907B5" w:rsidRPr="006B66E8" w:rsidRDefault="008907B5" w:rsidP="008907B5">
      <w:pPr>
        <w:pStyle w:val="WMOBodyText"/>
        <w:ind w:left="567" w:right="-170" w:hanging="567"/>
        <w:rPr>
          <w:lang w:val="es-ES"/>
        </w:rPr>
      </w:pPr>
      <w:r w:rsidRPr="006B66E8">
        <w:rPr>
          <w:lang w:val="es-ES"/>
        </w:rPr>
        <w:t>3)</w:t>
      </w:r>
      <w:r w:rsidRPr="006B66E8">
        <w:rPr>
          <w:lang w:val="es-ES"/>
        </w:rPr>
        <w:tab/>
        <w:t>la importancia capital de la atribución de bandas de frecuencias radioeléctricas adecuadas para el funcionamiento de los sistemas de observación meteorológica en superficie, en particular las radiosondas, los radares meteorológicos, los radiómetros y los radares perfiladores de viento,</w:t>
      </w:r>
    </w:p>
    <w:p w14:paraId="114B24C3" w14:textId="77777777" w:rsidR="008907B5" w:rsidRPr="006B66E8" w:rsidRDefault="008907B5" w:rsidP="008907B5">
      <w:pPr>
        <w:pStyle w:val="WMOBodyText"/>
        <w:ind w:left="567" w:right="-170" w:hanging="567"/>
        <w:rPr>
          <w:lang w:val="es-ES"/>
        </w:rPr>
      </w:pPr>
      <w:r w:rsidRPr="006B66E8">
        <w:rPr>
          <w:lang w:val="es-ES"/>
        </w:rPr>
        <w:t>4)</w:t>
      </w:r>
      <w:r w:rsidRPr="006B66E8">
        <w:rPr>
          <w:lang w:val="es-ES"/>
        </w:rPr>
        <w:tab/>
        <w:t>la importancia capital de la atribución de bandas de frecuencias radioeléctricas adecuadas para el funcionamiento de los satélites meteorológicos y de investigación y desarrollo, entre otras cosas, para fines de teledetección, recopilación de datos y enlaces de distribución de datos,</w:t>
      </w:r>
    </w:p>
    <w:p w14:paraId="114B24C4" w14:textId="12AF6FDB" w:rsidR="008907B5" w:rsidRPr="006B66E8" w:rsidRDefault="008907B5" w:rsidP="008907B5">
      <w:pPr>
        <w:pStyle w:val="WMOBodyText"/>
        <w:ind w:left="567" w:right="-170" w:hanging="567"/>
        <w:rPr>
          <w:lang w:val="es-ES"/>
        </w:rPr>
      </w:pPr>
      <w:r w:rsidRPr="006B66E8">
        <w:rPr>
          <w:lang w:val="es-ES"/>
        </w:rPr>
        <w:t>5)</w:t>
      </w:r>
      <w:r w:rsidRPr="006B66E8">
        <w:rPr>
          <w:lang w:val="es-ES"/>
        </w:rPr>
        <w:tab/>
        <w:t>las consecuencias de la pérdida de frecuencias radioeléctricas críticas reservadas a la meteorología en los servicios que prestan los Miembros en apoyo de las actividades económicas antes mencionadas y de la protección de la vida y los bienes, así como de un posible deterioro de esos servicios,</w:t>
      </w:r>
    </w:p>
    <w:p w14:paraId="114B24C5" w14:textId="77777777" w:rsidR="008907B5" w:rsidRPr="006B66E8" w:rsidRDefault="008907B5" w:rsidP="008907B5">
      <w:pPr>
        <w:pStyle w:val="WMOBodyText"/>
        <w:ind w:left="567" w:right="-170" w:hanging="567"/>
        <w:rPr>
          <w:lang w:val="es-ES"/>
        </w:rPr>
      </w:pPr>
      <w:r w:rsidRPr="006B66E8">
        <w:rPr>
          <w:lang w:val="es-ES"/>
        </w:rPr>
        <w:lastRenderedPageBreak/>
        <w:t>6)</w:t>
      </w:r>
      <w:r w:rsidRPr="006B66E8">
        <w:rPr>
          <w:lang w:val="es-ES"/>
        </w:rPr>
        <w:tab/>
        <w:t>los efectos de la puesta en servicio de futuras tecnologías de transmisión de carácter comercial en la capacidad de los Miembros para monitorear variables relacionadas con la disponibilidad de recursos hídricos y la emisión de los correspondientes pronósticos,</w:t>
      </w:r>
    </w:p>
    <w:p w14:paraId="114B24C6" w14:textId="20D4A433" w:rsidR="008907B5" w:rsidRPr="006B66E8" w:rsidRDefault="008907B5" w:rsidP="008907B5">
      <w:pPr>
        <w:pStyle w:val="WMOBodyText"/>
        <w:ind w:right="-170"/>
        <w:rPr>
          <w:lang w:val="es-ES"/>
        </w:rPr>
      </w:pPr>
      <w:r w:rsidRPr="006B66E8">
        <w:rPr>
          <w:b/>
          <w:bCs/>
          <w:lang w:val="es-ES"/>
        </w:rPr>
        <w:t xml:space="preserve">Destacando </w:t>
      </w:r>
      <w:r w:rsidRPr="006B66E8">
        <w:rPr>
          <w:lang w:val="es-ES"/>
        </w:rPr>
        <w:t xml:space="preserve">que algunas bandas de frecuencias radioeléctricas son un recurso natural único en su género debido a sus características y su radiación natural especiales, que permiten realizar observaciones de la atmósfera y la superficie de la Tierra mediante </w:t>
      </w:r>
      <w:r w:rsidR="00A377E7" w:rsidRPr="006B66E8">
        <w:rPr>
          <w:lang w:val="es-ES"/>
        </w:rPr>
        <w:t xml:space="preserve">instrumentos </w:t>
      </w:r>
      <w:r w:rsidRPr="006B66E8">
        <w:rPr>
          <w:lang w:val="es-ES"/>
        </w:rPr>
        <w:t>de teledetección pasiva a bordo de vehículos espaciales, y que por ello merecen una atribución adecuada al servicio de exploración de la Tierra por satélite (pasivo) y una protección absoluta contra toda interferencia,</w:t>
      </w:r>
    </w:p>
    <w:p w14:paraId="114B24C7" w14:textId="77777777" w:rsidR="008907B5" w:rsidRPr="006B66E8" w:rsidRDefault="008907B5" w:rsidP="008907B5">
      <w:pPr>
        <w:pStyle w:val="WMOBodyText"/>
        <w:ind w:right="-170"/>
        <w:rPr>
          <w:lang w:val="es-ES"/>
        </w:rPr>
      </w:pPr>
      <w:r w:rsidRPr="006B66E8">
        <w:rPr>
          <w:b/>
          <w:bCs/>
          <w:lang w:val="es-ES"/>
        </w:rPr>
        <w:t xml:space="preserve">Expresa </w:t>
      </w:r>
      <w:r w:rsidRPr="006B66E8">
        <w:rPr>
          <w:lang w:val="es-ES"/>
        </w:rPr>
        <w:t>su profunda preocupación por la amenaza continua que el desarrollo de otros servicios de radiocomunicación plantea a varias bandas de frecuencias radioeléctricas atribuidas a los servicios de ayudas a la meteorología, de satélites meteorológicos, de satélites de exploración de la Tierra y de radiolocalización (radares meteorológicos y radares perfiladores de viento);</w:t>
      </w:r>
    </w:p>
    <w:p w14:paraId="114B24C8" w14:textId="77777777" w:rsidR="008907B5" w:rsidRPr="006B66E8" w:rsidRDefault="008907B5" w:rsidP="008907B5">
      <w:pPr>
        <w:pStyle w:val="WMOBodyText"/>
        <w:ind w:right="-170"/>
        <w:rPr>
          <w:lang w:val="es-ES"/>
        </w:rPr>
      </w:pPr>
      <w:r w:rsidRPr="006B66E8">
        <w:rPr>
          <w:b/>
          <w:bCs/>
          <w:lang w:val="es-ES"/>
        </w:rPr>
        <w:t xml:space="preserve">Solicita </w:t>
      </w:r>
      <w:r w:rsidRPr="006B66E8">
        <w:rPr>
          <w:lang w:val="es-ES"/>
        </w:rPr>
        <w:t>a la Comisión de Observaciones, Infraestructura y Sistemas de Información (INFCOM) que prosiga con el examen continuo de las cuestiones reglamentarias y técnicas relacionadas con las frecuencias radioeléctricas destinadas a las actividades operacionales y de investigación meteorológicas y medioambientales conexas, así como con la preparación de material de orientación e información para los Servicios Meteorológicos e Hidrológicos Nacionales (SMHN), en coordinación con otras comisiones técnicas, en particular el comité permanente de la INFCOM encargado de los métodos de observación, las mediciones y los instrumentos, y en colaboración con otros órganos internacionales pertinentes, en particular el Grupo de Coordinación de los Satélites Meteorológicos (CGMS);</w:t>
      </w:r>
    </w:p>
    <w:p w14:paraId="114B24C9" w14:textId="5367C075" w:rsidR="008907B5" w:rsidRPr="006B66E8" w:rsidRDefault="008907B5" w:rsidP="008907B5">
      <w:pPr>
        <w:pStyle w:val="WMOBodyText"/>
        <w:ind w:right="-170"/>
        <w:rPr>
          <w:lang w:val="es-ES"/>
        </w:rPr>
      </w:pPr>
      <w:r w:rsidRPr="006B66E8">
        <w:rPr>
          <w:b/>
          <w:bCs/>
          <w:lang w:val="es-ES"/>
        </w:rPr>
        <w:t xml:space="preserve">Solicita </w:t>
      </w:r>
      <w:r w:rsidRPr="006B66E8">
        <w:rPr>
          <w:lang w:val="es-ES"/>
        </w:rPr>
        <w:t xml:space="preserve">a las asociaciones regionales que coordinen a nivel regional las contribuciones de los expertos meteorológicos a la labor de las organizaciones regionales de telecomunicaciones pertinentes y del Sector de Radiocomunicaciones </w:t>
      </w:r>
      <w:r w:rsidR="002E0677" w:rsidRPr="006B66E8">
        <w:rPr>
          <w:lang w:val="es-ES"/>
        </w:rPr>
        <w:t xml:space="preserve">(UIT-R) </w:t>
      </w:r>
      <w:r w:rsidRPr="006B66E8">
        <w:rPr>
          <w:lang w:val="es-ES"/>
        </w:rPr>
        <w:t>de la Unión Internacional de Telecomunicaciones</w:t>
      </w:r>
      <w:r w:rsidR="002E0677" w:rsidRPr="006B66E8">
        <w:rPr>
          <w:lang w:val="es-ES"/>
        </w:rPr>
        <w:t xml:space="preserve"> (UIT)</w:t>
      </w:r>
      <w:r w:rsidRPr="006B66E8">
        <w:rPr>
          <w:lang w:val="es-ES"/>
        </w:rPr>
        <w:t>, en particular las Comisiones de Estudio 5 y 7 sobre servicios terrenales (incluida la radiolocalización) y servicios científicos, respectivamente;</w:t>
      </w:r>
    </w:p>
    <w:p w14:paraId="114B24CA" w14:textId="77777777" w:rsidR="008907B5" w:rsidRPr="006B66E8" w:rsidRDefault="008907B5" w:rsidP="008907B5">
      <w:pPr>
        <w:pStyle w:val="WMOBodyText"/>
        <w:ind w:right="-170"/>
        <w:rPr>
          <w:lang w:val="es-ES"/>
        </w:rPr>
      </w:pPr>
      <w:r w:rsidRPr="006B66E8">
        <w:rPr>
          <w:b/>
          <w:bCs/>
          <w:lang w:val="es-ES"/>
        </w:rPr>
        <w:t xml:space="preserve">Alienta </w:t>
      </w:r>
      <w:r w:rsidRPr="006B66E8">
        <w:rPr>
          <w:lang w:val="es-ES"/>
        </w:rPr>
        <w:t>a las asociaciones regionales a que se ocupen de los asuntos relacionados con las frecuencias radioeléctricas a través de sus respectivos coordinadores para cuestiones relativas a la coordinación de las frecuencias radioeléctricas;</w:t>
      </w:r>
    </w:p>
    <w:p w14:paraId="114B24CB" w14:textId="77777777" w:rsidR="008907B5" w:rsidRPr="006B66E8" w:rsidRDefault="008907B5" w:rsidP="008907B5">
      <w:pPr>
        <w:pStyle w:val="WMOBodyText"/>
        <w:ind w:right="-170"/>
        <w:rPr>
          <w:lang w:val="es-ES"/>
        </w:rPr>
      </w:pPr>
      <w:r w:rsidRPr="006B66E8">
        <w:rPr>
          <w:b/>
          <w:bCs/>
          <w:lang w:val="es-ES"/>
        </w:rPr>
        <w:t xml:space="preserve">Insta </w:t>
      </w:r>
      <w:r w:rsidRPr="006B66E8">
        <w:rPr>
          <w:lang w:val="es-ES"/>
        </w:rPr>
        <w:t>a todos los Miembros a que hagan todo lo posible para velar por la disponibilidad y la protección de las bandas de frecuencias radioeléctricas necesarias para las operaciones y la investigación meteorológicas y medioambientales conexas, y en particular:</w:t>
      </w:r>
    </w:p>
    <w:p w14:paraId="114B24CC" w14:textId="00037D45" w:rsidR="008907B5" w:rsidRPr="006B66E8" w:rsidRDefault="008907B5" w:rsidP="008907B5">
      <w:pPr>
        <w:pStyle w:val="WMOBodyText"/>
        <w:ind w:left="567" w:right="-170" w:hanging="567"/>
        <w:rPr>
          <w:lang w:val="es-ES"/>
        </w:rPr>
      </w:pPr>
      <w:r w:rsidRPr="006B66E8">
        <w:rPr>
          <w:lang w:val="es-ES"/>
        </w:rPr>
        <w:t>1)</w:t>
      </w:r>
      <w:r w:rsidRPr="006B66E8">
        <w:rPr>
          <w:lang w:val="es-ES"/>
        </w:rPr>
        <w:tab/>
        <w:t xml:space="preserve">a que </w:t>
      </w:r>
      <w:r w:rsidR="001904B1" w:rsidRPr="006B66E8">
        <w:rPr>
          <w:lang w:val="es-ES"/>
        </w:rPr>
        <w:t xml:space="preserve">velen por que </w:t>
      </w:r>
      <w:r w:rsidRPr="006B66E8">
        <w:rPr>
          <w:lang w:val="es-ES"/>
        </w:rPr>
        <w:t>sus administraciones nacionales de radiocomunicaciones sean plenamente conscientes de la importancia de las frecuencias radioeléctricas para las actividades meteorológicas y conexas y de las correspondientes necesidades en esa esfera, y a que soliciten su apoyo en el marco de las actividades de las Conferencias Mundiales de Radiocomunicaciones de la UI</w:t>
      </w:r>
      <w:r w:rsidR="00BA544F" w:rsidRPr="006B66E8">
        <w:rPr>
          <w:lang w:val="es-ES"/>
        </w:rPr>
        <w:t xml:space="preserve">T </w:t>
      </w:r>
      <w:r w:rsidRPr="006B66E8">
        <w:rPr>
          <w:lang w:val="es-ES"/>
        </w:rPr>
        <w:t>y del UIT-R;</w:t>
      </w:r>
    </w:p>
    <w:p w14:paraId="114B24CD" w14:textId="77777777" w:rsidR="008907B5" w:rsidRPr="006B66E8" w:rsidRDefault="008907B5" w:rsidP="008907B5">
      <w:pPr>
        <w:pStyle w:val="WMOBodyText"/>
        <w:ind w:left="567" w:right="-170" w:hanging="567"/>
        <w:rPr>
          <w:lang w:val="es-ES"/>
        </w:rPr>
      </w:pPr>
      <w:r w:rsidRPr="006B66E8">
        <w:rPr>
          <w:lang w:val="es-ES"/>
        </w:rPr>
        <w:t>2)</w:t>
      </w:r>
      <w:r w:rsidRPr="006B66E8">
        <w:rPr>
          <w:lang w:val="es-ES"/>
        </w:rPr>
        <w:tab/>
        <w:t>a que participen activamente en las actividades nacionales, regionales e internacionales relativas a las cuestiones reglamentarias de las radiocomunicaciones pertinentes y, en particular, hagan intervenir a expertos de sus Servicios en la labor de las organizaciones regionales de telecomunicaciones pertinentes y del UIT-R, en particular las Comisiones de Estudio 5 y 7 sobre servicios terrenales (incluida la radiolocalización) y servicios científicos, respectivamente;</w:t>
      </w:r>
    </w:p>
    <w:p w14:paraId="114B24CE" w14:textId="77777777" w:rsidR="008907B5" w:rsidRPr="006B66E8" w:rsidRDefault="008907B5" w:rsidP="008907B5">
      <w:pPr>
        <w:pStyle w:val="WMOBodyText"/>
        <w:ind w:left="567" w:right="-170" w:hanging="567"/>
        <w:rPr>
          <w:lang w:val="es-ES"/>
        </w:rPr>
      </w:pPr>
      <w:r w:rsidRPr="006B66E8">
        <w:rPr>
          <w:lang w:val="es-ES"/>
        </w:rPr>
        <w:t>3)</w:t>
      </w:r>
      <w:r w:rsidRPr="006B66E8">
        <w:rPr>
          <w:lang w:val="es-ES"/>
        </w:rPr>
        <w:tab/>
        <w:t xml:space="preserve">a que registren adecuadamente en sus administraciones nacionales de radiocomunicaciones todas las estaciones de radiocomunicaciones y frecuencias radioeléctricas utilizadas en operaciones e investigaciones meteorológicas y medioambientales conexas; </w:t>
      </w:r>
    </w:p>
    <w:p w14:paraId="114B24CF" w14:textId="77777777" w:rsidR="008907B5" w:rsidRPr="006B66E8" w:rsidRDefault="008907B5" w:rsidP="008907B5">
      <w:pPr>
        <w:pStyle w:val="WMOBodyText"/>
        <w:ind w:right="-170"/>
        <w:rPr>
          <w:lang w:val="es-ES"/>
        </w:rPr>
      </w:pPr>
      <w:r w:rsidRPr="006B66E8">
        <w:rPr>
          <w:b/>
          <w:bCs/>
          <w:lang w:val="es-ES"/>
        </w:rPr>
        <w:lastRenderedPageBreak/>
        <w:t>Hace un llamamiento</w:t>
      </w:r>
      <w:r w:rsidRPr="006B66E8">
        <w:rPr>
          <w:lang w:val="es-ES"/>
        </w:rPr>
        <w:t xml:space="preserve"> a la UIT y a sus Administraciones Miembros:</w:t>
      </w:r>
    </w:p>
    <w:p w14:paraId="114B24D0" w14:textId="382CF86B" w:rsidR="008907B5" w:rsidRPr="006B66E8" w:rsidRDefault="008907B5" w:rsidP="008907B5">
      <w:pPr>
        <w:pStyle w:val="WMOBodyText"/>
        <w:ind w:left="567" w:right="-170" w:hanging="567"/>
        <w:rPr>
          <w:lang w:val="es-ES"/>
        </w:rPr>
      </w:pPr>
      <w:r w:rsidRPr="006B66E8">
        <w:rPr>
          <w:lang w:val="es-ES"/>
        </w:rPr>
        <w:t>1)</w:t>
      </w:r>
      <w:r w:rsidRPr="006B66E8">
        <w:rPr>
          <w:lang w:val="es-ES"/>
        </w:rPr>
        <w:tab/>
        <w:t xml:space="preserve">para que velen por la disponibilidad y la absoluta protección de las bandas de frecuencias radioeléctricas que, debido a sus características físicas especiales, son un recurso natural único en su género para la observación de parámetros atmosféricos y de la superficie de la Tierra mediante </w:t>
      </w:r>
      <w:r w:rsidR="004F0645" w:rsidRPr="006B66E8">
        <w:rPr>
          <w:lang w:val="es-ES"/>
        </w:rPr>
        <w:t xml:space="preserve">instrumentos </w:t>
      </w:r>
      <w:r w:rsidRPr="006B66E8">
        <w:rPr>
          <w:lang w:val="es-ES"/>
        </w:rPr>
        <w:t>de teledetección pasiva a bordo de vehículos espaciales, y de importancia fundamental para la investigación y las operaciones relativas al tiempo, el agua y el clima;</w:t>
      </w:r>
    </w:p>
    <w:p w14:paraId="114B24D1" w14:textId="77777777" w:rsidR="008907B5" w:rsidRPr="006B66E8" w:rsidRDefault="008907B5" w:rsidP="008907B5">
      <w:pPr>
        <w:pStyle w:val="WMOBodyText"/>
        <w:ind w:left="567" w:right="-170" w:hanging="567"/>
        <w:rPr>
          <w:lang w:val="es-ES"/>
        </w:rPr>
      </w:pPr>
      <w:r w:rsidRPr="006B66E8">
        <w:rPr>
          <w:lang w:val="es-ES"/>
        </w:rPr>
        <w:t>2)</w:t>
      </w:r>
      <w:r w:rsidRPr="006B66E8">
        <w:rPr>
          <w:lang w:val="es-ES"/>
        </w:rPr>
        <w:tab/>
        <w:t>para que presten la debida consideración a las necesidades de la OMM en materia de atribución de frecuencias radioeléctricas y de disposiciones reglamentarias para las operaciones e investigaciones meteorológicas y medioambientales conexas;</w:t>
      </w:r>
    </w:p>
    <w:p w14:paraId="114B24D2" w14:textId="7263BB95" w:rsidR="008907B5" w:rsidRPr="006B66E8" w:rsidRDefault="008907B5" w:rsidP="008907B5">
      <w:pPr>
        <w:pStyle w:val="WMOBodyText"/>
        <w:ind w:left="567" w:right="-170" w:hanging="567"/>
        <w:rPr>
          <w:lang w:val="es-ES"/>
        </w:rPr>
      </w:pPr>
      <w:r w:rsidRPr="006B66E8">
        <w:rPr>
          <w:lang w:val="es-ES"/>
        </w:rPr>
        <w:t>3)</w:t>
      </w:r>
      <w:r w:rsidRPr="006B66E8">
        <w:rPr>
          <w:lang w:val="es-ES"/>
        </w:rPr>
        <w:tab/>
        <w:t>para que otorguen especial atención a los documentos de posición de la OMM relacionados con el orden del día de la Conferencia Mundial de Radiocomunicacione</w:t>
      </w:r>
      <w:r w:rsidR="007F509A" w:rsidRPr="006B66E8">
        <w:rPr>
          <w:lang w:val="es-ES"/>
        </w:rPr>
        <w:t>s</w:t>
      </w:r>
      <w:r w:rsidRPr="006B66E8">
        <w:rPr>
          <w:lang w:val="es-ES"/>
        </w:rPr>
        <w:t>, teniendo en cuenta los apartados 1) y 2) del presente llamamiento;</w:t>
      </w:r>
    </w:p>
    <w:p w14:paraId="114B24D3" w14:textId="77777777" w:rsidR="008907B5" w:rsidRPr="006B66E8" w:rsidRDefault="008907B5" w:rsidP="008907B5">
      <w:pPr>
        <w:pStyle w:val="WMOBodyText"/>
        <w:keepNext/>
        <w:keepLines/>
        <w:ind w:right="-170"/>
        <w:rPr>
          <w:lang w:val="es-ES"/>
        </w:rPr>
      </w:pPr>
      <w:r w:rsidRPr="006B66E8">
        <w:rPr>
          <w:b/>
          <w:bCs/>
          <w:lang w:val="es-ES"/>
        </w:rPr>
        <w:t xml:space="preserve">Solicita </w:t>
      </w:r>
      <w:r w:rsidRPr="006B66E8">
        <w:rPr>
          <w:lang w:val="es-ES"/>
        </w:rPr>
        <w:t>al Secretario General:</w:t>
      </w:r>
    </w:p>
    <w:p w14:paraId="114B24D4" w14:textId="77777777" w:rsidR="008907B5" w:rsidRPr="006B66E8" w:rsidRDefault="008907B5" w:rsidP="008907B5">
      <w:pPr>
        <w:pStyle w:val="WMOBodyText"/>
        <w:keepNext/>
        <w:keepLines/>
        <w:ind w:left="567" w:right="-170" w:hanging="567"/>
        <w:rPr>
          <w:lang w:val="es-ES"/>
        </w:rPr>
      </w:pPr>
      <w:r w:rsidRPr="006B66E8">
        <w:rPr>
          <w:lang w:val="es-ES"/>
        </w:rPr>
        <w:t>1)</w:t>
      </w:r>
      <w:r w:rsidRPr="006B66E8">
        <w:rPr>
          <w:lang w:val="es-ES"/>
        </w:rPr>
        <w:tab/>
        <w:t>que señale la presente resolución a la atención de todos los interesados, incluida la UIT;</w:t>
      </w:r>
    </w:p>
    <w:p w14:paraId="114B24D5" w14:textId="35AF1217" w:rsidR="008907B5" w:rsidRPr="006B66E8" w:rsidRDefault="008907B5" w:rsidP="008907B5">
      <w:pPr>
        <w:pStyle w:val="WMOBodyText"/>
        <w:ind w:left="567" w:right="-170" w:hanging="567"/>
        <w:rPr>
          <w:lang w:val="es-ES"/>
        </w:rPr>
      </w:pPr>
      <w:r w:rsidRPr="006B66E8">
        <w:rPr>
          <w:lang w:val="es-ES"/>
        </w:rPr>
        <w:t>2)</w:t>
      </w:r>
      <w:r w:rsidRPr="006B66E8">
        <w:rPr>
          <w:lang w:val="es-ES"/>
        </w:rPr>
        <w:tab/>
        <w:t xml:space="preserve">que siga promoviendo como cuestión de máxima prioridad la función coordinadora de la Secretaría en cuestiones relativas a las frecuencias radioeléctricas, especialmente con el UIT-R, incluida la participación de la OMM en las comisiones de estudio de radiocomunicaciones de ese </w:t>
      </w:r>
      <w:r w:rsidR="00E17801" w:rsidRPr="006B66E8">
        <w:rPr>
          <w:lang w:val="es-ES"/>
        </w:rPr>
        <w:t>s</w:t>
      </w:r>
      <w:r w:rsidRPr="006B66E8">
        <w:rPr>
          <w:lang w:val="es-ES"/>
        </w:rPr>
        <w:t>ector, las reuniones preparatorias de las Conferencias y las Conferencias Mundiales de Radiocomunicaciones;</w:t>
      </w:r>
    </w:p>
    <w:p w14:paraId="114B24D6" w14:textId="1DE671B2" w:rsidR="008907B5" w:rsidRPr="006B66E8" w:rsidRDefault="008907B5" w:rsidP="008907B5">
      <w:pPr>
        <w:pStyle w:val="WMOBodyText"/>
        <w:ind w:left="567" w:right="-170" w:hanging="567"/>
        <w:rPr>
          <w:lang w:val="es-ES"/>
        </w:rPr>
      </w:pPr>
      <w:r w:rsidRPr="006B66E8">
        <w:rPr>
          <w:lang w:val="es-ES"/>
        </w:rPr>
        <w:t>3)</w:t>
      </w:r>
      <w:r w:rsidRPr="006B66E8">
        <w:rPr>
          <w:lang w:val="es-ES"/>
        </w:rPr>
        <w:tab/>
        <w:t>que facilite la coordinación entre los SMHN y las administraciones de radiocomunicaciones</w:t>
      </w:r>
      <w:r w:rsidR="003F77CF" w:rsidRPr="006B66E8">
        <w:rPr>
          <w:lang w:val="es-ES"/>
        </w:rPr>
        <w:t xml:space="preserve"> de sus respectivos países</w:t>
      </w:r>
      <w:r w:rsidRPr="006B66E8">
        <w:rPr>
          <w:lang w:val="es-ES"/>
        </w:rPr>
        <w:t>, en particular para la preparación de las Conferencias Mundiales de Radiocomunicaciones de la UIT, al proporcionar la información y documentación apropiadas;</w:t>
      </w:r>
    </w:p>
    <w:p w14:paraId="114B24D7" w14:textId="47AD2420" w:rsidR="008907B5" w:rsidRPr="006B66E8" w:rsidRDefault="008907B5" w:rsidP="008907B5">
      <w:pPr>
        <w:pStyle w:val="WMOBodyText"/>
        <w:ind w:left="567" w:right="-170" w:hanging="567"/>
        <w:rPr>
          <w:lang w:val="es-ES"/>
        </w:rPr>
      </w:pPr>
      <w:r w:rsidRPr="006B66E8">
        <w:rPr>
          <w:lang w:val="es-ES"/>
        </w:rPr>
        <w:t>4)</w:t>
      </w:r>
      <w:r w:rsidRPr="006B66E8">
        <w:rPr>
          <w:lang w:val="es-ES"/>
        </w:rPr>
        <w:tab/>
        <w:t>que ayude a la INFCOM en la aplicación de la presente resolución.</w:t>
      </w:r>
      <w:r w:rsidR="00DB14AD">
        <w:rPr>
          <w:lang w:val="es-ES"/>
        </w:rPr>
        <w:t xml:space="preserve"> </w:t>
      </w:r>
    </w:p>
    <w:p w14:paraId="114B24D8" w14:textId="77777777" w:rsidR="008907B5" w:rsidRPr="006B66E8" w:rsidRDefault="008907B5" w:rsidP="008907B5">
      <w:pPr>
        <w:pStyle w:val="WMOBodyText"/>
        <w:ind w:right="-170"/>
        <w:rPr>
          <w:lang w:val="es-ES"/>
        </w:rPr>
      </w:pPr>
      <w:r w:rsidRPr="006B66E8">
        <w:rPr>
          <w:lang w:val="es-ES"/>
        </w:rPr>
        <w:t>______</w:t>
      </w:r>
    </w:p>
    <w:p w14:paraId="114B24D9" w14:textId="544B814A" w:rsidR="008907B5" w:rsidRPr="006B66E8" w:rsidRDefault="008907B5" w:rsidP="00BF034F">
      <w:pPr>
        <w:pStyle w:val="WMOBodyText"/>
        <w:tabs>
          <w:tab w:val="left" w:pos="709"/>
        </w:tabs>
        <w:ind w:left="709" w:right="-170" w:hanging="709"/>
        <w:rPr>
          <w:rStyle w:val="Hyperlink"/>
          <w:spacing w:val="-4"/>
          <w:sz w:val="18"/>
          <w:szCs w:val="18"/>
          <w:lang w:val="es-ES"/>
        </w:rPr>
      </w:pPr>
      <w:r w:rsidRPr="006B66E8">
        <w:rPr>
          <w:sz w:val="18"/>
          <w:szCs w:val="18"/>
          <w:lang w:val="es-ES"/>
        </w:rPr>
        <w:t>Nota:</w:t>
      </w:r>
      <w:r w:rsidR="00BF034F" w:rsidRPr="006B66E8">
        <w:rPr>
          <w:sz w:val="18"/>
          <w:szCs w:val="18"/>
          <w:lang w:val="es-ES"/>
        </w:rPr>
        <w:tab/>
      </w:r>
      <w:r w:rsidRPr="006B66E8">
        <w:rPr>
          <w:sz w:val="18"/>
          <w:szCs w:val="18"/>
          <w:lang w:val="es-ES"/>
        </w:rPr>
        <w:t xml:space="preserve">La presente resolución sustituye a la </w:t>
      </w:r>
      <w:hyperlink r:id="rId17" w:anchor="page=168" w:history="1">
        <w:r w:rsidRPr="006B66E8">
          <w:rPr>
            <w:rStyle w:val="Hyperlink"/>
            <w:sz w:val="18"/>
            <w:szCs w:val="18"/>
            <w:lang w:val="es-ES"/>
          </w:rPr>
          <w:t>Resolución 42 (Cg-18)</w:t>
        </w:r>
      </w:hyperlink>
      <w:r w:rsidRPr="006B66E8">
        <w:rPr>
          <w:sz w:val="18"/>
          <w:szCs w:val="18"/>
          <w:lang w:val="es-ES"/>
        </w:rPr>
        <w:t xml:space="preserve"> — Frecuencias radioeléctricas para las actividades meteoroló</w:t>
      </w:r>
      <w:r w:rsidR="00291069" w:rsidRPr="006B66E8">
        <w:rPr>
          <w:sz w:val="18"/>
          <w:szCs w:val="18"/>
          <w:lang w:val="es-ES"/>
        </w:rPr>
        <w:t>g</w:t>
      </w:r>
      <w:r w:rsidRPr="006B66E8">
        <w:rPr>
          <w:sz w:val="18"/>
          <w:szCs w:val="18"/>
          <w:lang w:val="es-ES"/>
        </w:rPr>
        <w:t>icas y medioambientales conexas, que deja de estar en vigor.</w:t>
      </w:r>
    </w:p>
    <w:p w14:paraId="114B24DA" w14:textId="77777777" w:rsidR="00581CFE" w:rsidRPr="006B66E8" w:rsidRDefault="00581CFE" w:rsidP="00581CFE">
      <w:pPr>
        <w:spacing w:before="480"/>
        <w:jc w:val="center"/>
        <w:rPr>
          <w:lang w:val="es-ES"/>
        </w:rPr>
      </w:pPr>
      <w:r w:rsidRPr="006B66E8">
        <w:rPr>
          <w:lang w:val="es-ES"/>
        </w:rPr>
        <w:t>___________</w:t>
      </w:r>
    </w:p>
    <w:sectPr w:rsidR="00581CFE" w:rsidRPr="006B66E8" w:rsidSect="0020095E">
      <w:headerReference w:type="default" r:id="rId18"/>
      <w:headerReference w:type="first" r:id="rId19"/>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24E1" w14:textId="77777777" w:rsidR="0050443F" w:rsidRDefault="0050443F">
      <w:r>
        <w:separator/>
      </w:r>
    </w:p>
    <w:p w14:paraId="114B24E2" w14:textId="77777777" w:rsidR="0050443F" w:rsidRDefault="0050443F"/>
    <w:p w14:paraId="114B24E3" w14:textId="77777777" w:rsidR="0050443F" w:rsidRDefault="0050443F"/>
  </w:endnote>
  <w:endnote w:type="continuationSeparator" w:id="0">
    <w:p w14:paraId="114B24E4" w14:textId="77777777" w:rsidR="0050443F" w:rsidRDefault="0050443F">
      <w:r>
        <w:continuationSeparator/>
      </w:r>
    </w:p>
    <w:p w14:paraId="114B24E5" w14:textId="77777777" w:rsidR="0050443F" w:rsidRDefault="0050443F"/>
    <w:p w14:paraId="114B24E6" w14:textId="77777777" w:rsidR="0050443F" w:rsidRDefault="00504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24DD" w14:textId="77777777" w:rsidR="0050443F" w:rsidRDefault="0050443F">
      <w:r>
        <w:separator/>
      </w:r>
    </w:p>
  </w:footnote>
  <w:footnote w:type="continuationSeparator" w:id="0">
    <w:p w14:paraId="114B24DE" w14:textId="77777777" w:rsidR="0050443F" w:rsidRDefault="0050443F">
      <w:r>
        <w:continuationSeparator/>
      </w:r>
    </w:p>
    <w:p w14:paraId="114B24DF" w14:textId="77777777" w:rsidR="0050443F" w:rsidRDefault="0050443F"/>
    <w:p w14:paraId="114B24E0" w14:textId="77777777" w:rsidR="0050443F" w:rsidRDefault="0050443F"/>
  </w:footnote>
  <w:footnote w:id="1">
    <w:p w14:paraId="114B24E9" w14:textId="77777777" w:rsidR="00681435" w:rsidRPr="008907B5" w:rsidRDefault="00681435" w:rsidP="008907B5">
      <w:pPr>
        <w:pStyle w:val="FootnoteText"/>
        <w:ind w:right="-170"/>
        <w:rPr>
          <w:lang w:val="fr-CH"/>
        </w:rPr>
      </w:pPr>
      <w:r>
        <w:rPr>
          <w:rStyle w:val="FootnoteReference"/>
          <w:lang w:val="es-ES"/>
        </w:rPr>
        <w:footnoteRef/>
      </w:r>
      <w:r w:rsidRPr="008907B5">
        <w:rPr>
          <w:lang w:val="fr-CH"/>
        </w:rPr>
        <w:t xml:space="preserve"> Véase </w:t>
      </w:r>
      <w:hyperlink r:id="rId1" w:history="1">
        <w:r w:rsidRPr="00D97FA1">
          <w:rPr>
            <w:rStyle w:val="Hyperlink"/>
            <w:lang w:val="fr-CH"/>
          </w:rPr>
          <w:t>https://public.wmo.int/en/our-mandate/what-we-do/wmo-contributing-sustainable-development-goals-sdgs</w:t>
        </w:r>
      </w:hyperlink>
      <w:r w:rsidRPr="008907B5">
        <w:rPr>
          <w:lang w:val="fr-CH"/>
        </w:rPr>
        <w:t>.</w:t>
      </w:r>
    </w:p>
  </w:footnote>
  <w:footnote w:id="2">
    <w:p w14:paraId="114B24EA" w14:textId="77777777" w:rsidR="00681435" w:rsidRPr="008907B5" w:rsidRDefault="00681435" w:rsidP="008907B5">
      <w:pPr>
        <w:pStyle w:val="FootnoteText"/>
        <w:ind w:right="-170"/>
        <w:rPr>
          <w:lang w:val="es-ES"/>
        </w:rPr>
      </w:pPr>
      <w:r>
        <w:rPr>
          <w:rStyle w:val="FootnoteReference"/>
          <w:lang w:val="es-ES"/>
        </w:rPr>
        <w:footnoteRef/>
      </w:r>
      <w:r>
        <w:rPr>
          <w:lang w:val="es-ES"/>
        </w:rPr>
        <w:t xml:space="preserve"> Las resoluciones de la Conferencia Mundial de Radiocomunicaciones figuran en el Volumen 3 de la versión vigente del Reglamento de Radiocomunicaciones. Dicha publicación puede obtenerse en: </w:t>
      </w:r>
      <w:hyperlink r:id="rId2" w:history="1">
        <w:r w:rsidRPr="00D97FA1">
          <w:rPr>
            <w:rStyle w:val="Hyperlink"/>
            <w:lang w:val="es-ES"/>
          </w:rPr>
          <w:t>https://www.itu.int/en/myitu/Publications/2020/09/02/14/23/Radio-Regulations-2020?sc_camp=DD249A18F65340498C7674FA167CAC94</w:t>
        </w:r>
      </w:hyperlink>
      <w:r>
        <w:rPr>
          <w:lang w:val="es-ES"/>
        </w:rPr>
        <w:t>.</w:t>
      </w:r>
    </w:p>
  </w:footnote>
  <w:footnote w:id="3">
    <w:p w14:paraId="114B24EB" w14:textId="77777777" w:rsidR="00681435" w:rsidRPr="008907B5" w:rsidRDefault="00681435" w:rsidP="008907B5">
      <w:pPr>
        <w:pStyle w:val="FootnoteText"/>
        <w:rPr>
          <w:lang w:val="es-ES"/>
        </w:rPr>
      </w:pPr>
      <w:r>
        <w:rPr>
          <w:rStyle w:val="FootnoteReference"/>
          <w:lang w:val="es-ES"/>
        </w:rPr>
        <w:footnoteRef/>
      </w:r>
      <w:r>
        <w:rPr>
          <w:lang w:val="es-ES"/>
        </w:rPr>
        <w:t xml:space="preserve"> Resolución 811 (CMR-19) — Orden del día de la Conferencia Mundial de Radiocomunicaciones de 2023.</w:t>
      </w:r>
    </w:p>
  </w:footnote>
  <w:footnote w:id="4">
    <w:p w14:paraId="114B24EC" w14:textId="77777777" w:rsidR="00681435" w:rsidRPr="008907B5" w:rsidRDefault="00681435" w:rsidP="008907B5">
      <w:pPr>
        <w:pStyle w:val="FootnoteText"/>
        <w:rPr>
          <w:lang w:val="es-ES"/>
        </w:rPr>
      </w:pPr>
      <w:r>
        <w:rPr>
          <w:rStyle w:val="FootnoteReference"/>
          <w:lang w:val="es-ES"/>
        </w:rPr>
        <w:footnoteRef/>
      </w:r>
      <w:r>
        <w:rPr>
          <w:lang w:val="es-ES"/>
        </w:rPr>
        <w:t xml:space="preserve"> Las notas del Reglamento de Radiocomunicaciones se encuentran en el Volumen 1 del Reglamento de Radiocomunicaciones. Dicha publicación puede obtenerse en: </w:t>
      </w:r>
      <w:hyperlink r:id="rId3" w:history="1">
        <w:r w:rsidRPr="00D97FA1">
          <w:rPr>
            <w:rStyle w:val="Hyperlink"/>
            <w:lang w:val="es-ES"/>
          </w:rPr>
          <w:t>https://www.itu.int/en/myitu/Publications/2020/09/02/14/23/Radio-Regulations-2020?sc_camp=DD249A18F65340498C7674FA167CAC94</w:t>
        </w:r>
      </w:hyperlink>
      <w:r>
        <w:rPr>
          <w:lang w:val="es-ES"/>
        </w:rPr>
        <w:t>.</w:t>
      </w:r>
    </w:p>
  </w:footnote>
  <w:footnote w:id="5">
    <w:p w14:paraId="114B24ED" w14:textId="77777777" w:rsidR="00681435" w:rsidRPr="008907B5" w:rsidRDefault="00681435" w:rsidP="008907B5">
      <w:pPr>
        <w:pStyle w:val="FootnoteText"/>
        <w:jc w:val="both"/>
        <w:rPr>
          <w:lang w:val="es-ES"/>
        </w:rPr>
      </w:pPr>
      <w:r>
        <w:rPr>
          <w:rStyle w:val="FootnoteReference"/>
          <w:lang w:val="es-ES"/>
        </w:rPr>
        <w:footnoteRef/>
      </w:r>
      <w:r>
        <w:rPr>
          <w:lang w:val="es-ES"/>
        </w:rPr>
        <w:t xml:space="preserve"> Los SAR suministran información complementaria que resulta útil para la gestión de desastres causados por crecidas y para muchas otras aplicaciones.</w:t>
      </w:r>
    </w:p>
  </w:footnote>
  <w:footnote w:id="6">
    <w:p w14:paraId="114B24EE" w14:textId="77777777" w:rsidR="00681435" w:rsidRPr="008907B5" w:rsidRDefault="00681435" w:rsidP="008907B5">
      <w:pPr>
        <w:pStyle w:val="FootnoteText"/>
        <w:rPr>
          <w:lang w:val="es-ES"/>
        </w:rPr>
      </w:pPr>
      <w:r>
        <w:rPr>
          <w:rStyle w:val="FootnoteReference"/>
          <w:lang w:val="es-ES"/>
        </w:rPr>
        <w:footnoteRef/>
      </w:r>
      <w:r>
        <w:rPr>
          <w:lang w:val="es-ES"/>
        </w:rPr>
        <w:t xml:space="preserve"> En el presente documento, toda referencia a regiones atañe a las regiones del UIT-R indicadas en el artículo 5.2 del Reglamento de Radiocomunicaciones, Volumen 1.</w:t>
      </w:r>
    </w:p>
  </w:footnote>
  <w:footnote w:id="7">
    <w:p w14:paraId="114B24EF" w14:textId="77777777" w:rsidR="00681435" w:rsidRPr="008907B5" w:rsidRDefault="00681435" w:rsidP="008907B5">
      <w:pPr>
        <w:pStyle w:val="FootnoteText"/>
        <w:rPr>
          <w:lang w:val="fr-CH"/>
        </w:rPr>
      </w:pPr>
      <w:r>
        <w:rPr>
          <w:rStyle w:val="FootnoteReference"/>
          <w:lang w:val="es-ES"/>
        </w:rPr>
        <w:footnoteRef/>
      </w:r>
      <w:r w:rsidRPr="008907B5">
        <w:rPr>
          <w:lang w:val="fr-CH"/>
        </w:rPr>
        <w:t xml:space="preserve"> Véase </w:t>
      </w:r>
      <w:hyperlink r:id="rId4" w:history="1">
        <w:r w:rsidRPr="00D97FA1">
          <w:rPr>
            <w:rStyle w:val="Hyperlink"/>
            <w:lang w:val="fr-CH"/>
          </w:rPr>
          <w:t>http://oscar.wmo.int/space</w:t>
        </w:r>
      </w:hyperlink>
      <w:r w:rsidRPr="008907B5">
        <w:rPr>
          <w:lang w:val="fr-CH"/>
        </w:rPr>
        <w:t>.</w:t>
      </w:r>
    </w:p>
  </w:footnote>
  <w:footnote w:id="8">
    <w:p w14:paraId="114B24F0" w14:textId="77777777" w:rsidR="00681435" w:rsidRPr="008907B5" w:rsidRDefault="00681435" w:rsidP="008907B5">
      <w:pPr>
        <w:pStyle w:val="FootnoteText"/>
        <w:rPr>
          <w:lang w:val="fr-CH"/>
        </w:rPr>
      </w:pPr>
      <w:r>
        <w:rPr>
          <w:rStyle w:val="FootnoteReference"/>
          <w:lang w:val="es-ES"/>
        </w:rPr>
        <w:footnoteRef/>
      </w:r>
      <w:r w:rsidRPr="008907B5">
        <w:rPr>
          <w:lang w:val="fr-CH"/>
        </w:rPr>
        <w:t xml:space="preserve"> </w:t>
      </w:r>
      <w:r>
        <w:rPr>
          <w:lang w:val="fr-CH"/>
        </w:rPr>
        <w:t xml:space="preserve">Véase </w:t>
      </w:r>
      <w:hyperlink r:id="rId5" w:history="1">
        <w:r w:rsidRPr="001134CD">
          <w:rPr>
            <w:rStyle w:val="Hyperlink"/>
            <w:lang w:val="fr-CH"/>
          </w:rPr>
          <w:t>https://www.itu.int/pub/R-REP-M.2316</w:t>
        </w:r>
      </w:hyperlink>
      <w:r w:rsidRPr="008907B5">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24E7" w14:textId="77777777" w:rsidR="00681435" w:rsidRDefault="00681435" w:rsidP="007A7971">
    <w:pPr>
      <w:pStyle w:val="Header"/>
    </w:pPr>
    <w:r>
      <w:t>EC-76/Doc. 3.2(16)</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sidR="006614FE">
      <w:rPr>
        <w:rStyle w:val="PageNumber"/>
        <w:noProof/>
      </w:rPr>
      <w:t>31</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24E8" w14:textId="77777777" w:rsidR="00681435" w:rsidRDefault="00681435"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2647"/>
    <w:multiLevelType w:val="hybridMultilevel"/>
    <w:tmpl w:val="B7DE66AA"/>
    <w:lvl w:ilvl="0" w:tplc="08090001">
      <w:start w:val="1"/>
      <w:numFmt w:val="bullet"/>
      <w:lvlText w:val=""/>
      <w:lvlJc w:val="left"/>
      <w:pPr>
        <w:ind w:left="720" w:hanging="360"/>
      </w:pPr>
      <w:rPr>
        <w:rFonts w:ascii="Symbol" w:hAnsi="Symbol" w:hint="default"/>
      </w:rPr>
    </w:lvl>
    <w:lvl w:ilvl="1" w:tplc="5148A146">
      <w:numFmt w:val="bullet"/>
      <w:lvlText w:val="·"/>
      <w:lvlJc w:val="left"/>
      <w:pPr>
        <w:ind w:left="1650" w:hanging="570"/>
      </w:pPr>
      <w:rPr>
        <w:rFonts w:ascii="Verdana" w:eastAsia="MS Mincho"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43CDD"/>
    <w:multiLevelType w:val="hybridMultilevel"/>
    <w:tmpl w:val="26247E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B57D2"/>
    <w:multiLevelType w:val="hybridMultilevel"/>
    <w:tmpl w:val="C9B017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3EE33B5"/>
    <w:multiLevelType w:val="hybridMultilevel"/>
    <w:tmpl w:val="A588C722"/>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4" w15:restartNumberingAfterBreak="0">
    <w:nsid w:val="3F4D3F49"/>
    <w:multiLevelType w:val="hybridMultilevel"/>
    <w:tmpl w:val="4ACE1B90"/>
    <w:lvl w:ilvl="0" w:tplc="DE7E2D54">
      <w:numFmt w:val="bullet"/>
      <w:lvlText w:val="-"/>
      <w:lvlJc w:val="left"/>
      <w:pPr>
        <w:ind w:left="590" w:hanging="450"/>
      </w:pPr>
      <w:rPr>
        <w:rFonts w:ascii="Verdana" w:eastAsia="Times New Roman" w:hAnsi="Verdana" w:cs="Times New Roman"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5" w15:restartNumberingAfterBreak="0">
    <w:nsid w:val="4828753A"/>
    <w:multiLevelType w:val="hybridMultilevel"/>
    <w:tmpl w:val="BB36B8FA"/>
    <w:lvl w:ilvl="0" w:tplc="697C4E86">
      <w:numFmt w:val="bullet"/>
      <w:lvlText w:val="·"/>
      <w:lvlJc w:val="left"/>
      <w:pPr>
        <w:ind w:left="592" w:hanging="570"/>
      </w:pPr>
      <w:rPr>
        <w:rFonts w:ascii="Verdana" w:eastAsia="MS Mincho" w:hAnsi="Verdana" w:cs="Times New Roman"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6" w15:restartNumberingAfterBreak="0">
    <w:nsid w:val="488A1489"/>
    <w:multiLevelType w:val="hybridMultilevel"/>
    <w:tmpl w:val="2416B59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15:restartNumberingAfterBreak="0">
    <w:nsid w:val="53EF3FE6"/>
    <w:multiLevelType w:val="hybridMultilevel"/>
    <w:tmpl w:val="D60C04DA"/>
    <w:lvl w:ilvl="0" w:tplc="A5842348">
      <w:numFmt w:val="bullet"/>
      <w:lvlText w:val="·"/>
      <w:lvlJc w:val="left"/>
      <w:pPr>
        <w:ind w:left="930" w:hanging="57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12DA8"/>
    <w:multiLevelType w:val="hybridMultilevel"/>
    <w:tmpl w:val="F612C9C2"/>
    <w:lvl w:ilvl="0" w:tplc="08090003">
      <w:start w:val="1"/>
      <w:numFmt w:val="bullet"/>
      <w:lvlText w:val="o"/>
      <w:lvlJc w:val="left"/>
      <w:pPr>
        <w:ind w:left="1275" w:hanging="360"/>
      </w:pPr>
      <w:rPr>
        <w:rFonts w:ascii="Courier New" w:hAnsi="Courier New" w:cs="Courier New"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9" w15:restartNumberingAfterBreak="0">
    <w:nsid w:val="7D2302A5"/>
    <w:multiLevelType w:val="hybridMultilevel"/>
    <w:tmpl w:val="2FAAEDAC"/>
    <w:lvl w:ilvl="0" w:tplc="6D723F32">
      <w:start w:val="3"/>
      <w:numFmt w:val="bullet"/>
      <w:pStyle w:val="Alinea"/>
      <w:lvlText w:val="-"/>
      <w:lvlJc w:val="left"/>
      <w:pPr>
        <w:ind w:left="720" w:hanging="360"/>
      </w:pPr>
      <w:rPr>
        <w:rFonts w:ascii="Times New Roman" w:eastAsia="Times New Roman" w:hAnsi="Times New Roman" w:cs="Times New Roman"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21004956">
    <w:abstractNumId w:val="9"/>
  </w:num>
  <w:num w:numId="2" w16cid:durableId="376514056">
    <w:abstractNumId w:val="2"/>
  </w:num>
  <w:num w:numId="3" w16cid:durableId="407968334">
    <w:abstractNumId w:val="6"/>
  </w:num>
  <w:num w:numId="4" w16cid:durableId="982589286">
    <w:abstractNumId w:val="5"/>
  </w:num>
  <w:num w:numId="5" w16cid:durableId="1195846699">
    <w:abstractNumId w:val="3"/>
  </w:num>
  <w:num w:numId="6" w16cid:durableId="1069570363">
    <w:abstractNumId w:val="4"/>
  </w:num>
  <w:num w:numId="7" w16cid:durableId="772166136">
    <w:abstractNumId w:val="0"/>
  </w:num>
  <w:num w:numId="8" w16cid:durableId="162743063">
    <w:abstractNumId w:val="7"/>
  </w:num>
  <w:num w:numId="9" w16cid:durableId="239952014">
    <w:abstractNumId w:val="8"/>
  </w:num>
  <w:num w:numId="10" w16cid:durableId="9035699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07B5"/>
    <w:rsid w:val="00001E4F"/>
    <w:rsid w:val="000206A8"/>
    <w:rsid w:val="00021A9C"/>
    <w:rsid w:val="0002239E"/>
    <w:rsid w:val="0003137A"/>
    <w:rsid w:val="00036A9B"/>
    <w:rsid w:val="00040E30"/>
    <w:rsid w:val="00041171"/>
    <w:rsid w:val="00041727"/>
    <w:rsid w:val="0004226F"/>
    <w:rsid w:val="00050F8E"/>
    <w:rsid w:val="000573AD"/>
    <w:rsid w:val="0006029E"/>
    <w:rsid w:val="00064F6B"/>
    <w:rsid w:val="00072F17"/>
    <w:rsid w:val="000806D8"/>
    <w:rsid w:val="00081B6C"/>
    <w:rsid w:val="00082C80"/>
    <w:rsid w:val="00083847"/>
    <w:rsid w:val="00083C36"/>
    <w:rsid w:val="00085BDA"/>
    <w:rsid w:val="00095E48"/>
    <w:rsid w:val="000A69BF"/>
    <w:rsid w:val="000B1C3B"/>
    <w:rsid w:val="000C2110"/>
    <w:rsid w:val="000C225A"/>
    <w:rsid w:val="000C6781"/>
    <w:rsid w:val="000E04C0"/>
    <w:rsid w:val="000E4023"/>
    <w:rsid w:val="000F5E49"/>
    <w:rsid w:val="000F7A87"/>
    <w:rsid w:val="00105D2E"/>
    <w:rsid w:val="00111BFD"/>
    <w:rsid w:val="0011498B"/>
    <w:rsid w:val="00120147"/>
    <w:rsid w:val="00123140"/>
    <w:rsid w:val="00123D94"/>
    <w:rsid w:val="0013433B"/>
    <w:rsid w:val="0014347F"/>
    <w:rsid w:val="001476A8"/>
    <w:rsid w:val="001527A3"/>
    <w:rsid w:val="00156F9B"/>
    <w:rsid w:val="00157949"/>
    <w:rsid w:val="001624AE"/>
    <w:rsid w:val="00163BA3"/>
    <w:rsid w:val="001649B8"/>
    <w:rsid w:val="00165155"/>
    <w:rsid w:val="00166B31"/>
    <w:rsid w:val="0017029C"/>
    <w:rsid w:val="00180771"/>
    <w:rsid w:val="001872F9"/>
    <w:rsid w:val="001904B1"/>
    <w:rsid w:val="001930A3"/>
    <w:rsid w:val="00196EB8"/>
    <w:rsid w:val="001A0388"/>
    <w:rsid w:val="001A0830"/>
    <w:rsid w:val="001A0E19"/>
    <w:rsid w:val="001A341E"/>
    <w:rsid w:val="001A415E"/>
    <w:rsid w:val="001B0EA6"/>
    <w:rsid w:val="001B198E"/>
    <w:rsid w:val="001B1CDF"/>
    <w:rsid w:val="001B419B"/>
    <w:rsid w:val="001B56F4"/>
    <w:rsid w:val="001C5462"/>
    <w:rsid w:val="001D0E17"/>
    <w:rsid w:val="001D265C"/>
    <w:rsid w:val="001D3062"/>
    <w:rsid w:val="001D3CFB"/>
    <w:rsid w:val="001D559B"/>
    <w:rsid w:val="001D6302"/>
    <w:rsid w:val="001E740C"/>
    <w:rsid w:val="001E7DD0"/>
    <w:rsid w:val="001F1BDA"/>
    <w:rsid w:val="001F3F55"/>
    <w:rsid w:val="0020095E"/>
    <w:rsid w:val="00210D30"/>
    <w:rsid w:val="002204FD"/>
    <w:rsid w:val="0022397B"/>
    <w:rsid w:val="00224B5C"/>
    <w:rsid w:val="002308B5"/>
    <w:rsid w:val="00234A34"/>
    <w:rsid w:val="0023579F"/>
    <w:rsid w:val="0024027B"/>
    <w:rsid w:val="0025255D"/>
    <w:rsid w:val="00254EE7"/>
    <w:rsid w:val="00255975"/>
    <w:rsid w:val="00255EE3"/>
    <w:rsid w:val="00266262"/>
    <w:rsid w:val="00270480"/>
    <w:rsid w:val="00276264"/>
    <w:rsid w:val="002779AF"/>
    <w:rsid w:val="002823D8"/>
    <w:rsid w:val="0028531A"/>
    <w:rsid w:val="00285446"/>
    <w:rsid w:val="00291069"/>
    <w:rsid w:val="00295593"/>
    <w:rsid w:val="002A354F"/>
    <w:rsid w:val="002A386C"/>
    <w:rsid w:val="002B540D"/>
    <w:rsid w:val="002C30BC"/>
    <w:rsid w:val="002C49B1"/>
    <w:rsid w:val="002C5965"/>
    <w:rsid w:val="002C7A88"/>
    <w:rsid w:val="002D03CB"/>
    <w:rsid w:val="002D232B"/>
    <w:rsid w:val="002D2759"/>
    <w:rsid w:val="002D3080"/>
    <w:rsid w:val="002D5E00"/>
    <w:rsid w:val="002D6DAC"/>
    <w:rsid w:val="002E0677"/>
    <w:rsid w:val="002E261D"/>
    <w:rsid w:val="002E3FAD"/>
    <w:rsid w:val="002E4E16"/>
    <w:rsid w:val="002E4FFD"/>
    <w:rsid w:val="002F3545"/>
    <w:rsid w:val="002F6DAC"/>
    <w:rsid w:val="00301E8C"/>
    <w:rsid w:val="003027F9"/>
    <w:rsid w:val="00314D5D"/>
    <w:rsid w:val="00315829"/>
    <w:rsid w:val="00320009"/>
    <w:rsid w:val="003211DE"/>
    <w:rsid w:val="0032424A"/>
    <w:rsid w:val="003245D3"/>
    <w:rsid w:val="00330AA3"/>
    <w:rsid w:val="00334987"/>
    <w:rsid w:val="00342E34"/>
    <w:rsid w:val="00344F8D"/>
    <w:rsid w:val="00345B6D"/>
    <w:rsid w:val="00354FBF"/>
    <w:rsid w:val="00357F06"/>
    <w:rsid w:val="00360D39"/>
    <w:rsid w:val="00371CF1"/>
    <w:rsid w:val="003750C1"/>
    <w:rsid w:val="00380AF7"/>
    <w:rsid w:val="00383F53"/>
    <w:rsid w:val="00394A05"/>
    <w:rsid w:val="00396855"/>
    <w:rsid w:val="00397770"/>
    <w:rsid w:val="00397880"/>
    <w:rsid w:val="003A18EC"/>
    <w:rsid w:val="003A3C12"/>
    <w:rsid w:val="003A61D9"/>
    <w:rsid w:val="003A7016"/>
    <w:rsid w:val="003A71E4"/>
    <w:rsid w:val="003B6430"/>
    <w:rsid w:val="003C17A5"/>
    <w:rsid w:val="003C5AB0"/>
    <w:rsid w:val="003D1552"/>
    <w:rsid w:val="003D5A17"/>
    <w:rsid w:val="003E4046"/>
    <w:rsid w:val="003F003A"/>
    <w:rsid w:val="003F125B"/>
    <w:rsid w:val="003F1F2C"/>
    <w:rsid w:val="003F77CF"/>
    <w:rsid w:val="003F7B3F"/>
    <w:rsid w:val="00402F84"/>
    <w:rsid w:val="0040302D"/>
    <w:rsid w:val="00406A9C"/>
    <w:rsid w:val="0041078D"/>
    <w:rsid w:val="00416F97"/>
    <w:rsid w:val="0043039B"/>
    <w:rsid w:val="004423FE"/>
    <w:rsid w:val="00445C35"/>
    <w:rsid w:val="00447D93"/>
    <w:rsid w:val="0045561B"/>
    <w:rsid w:val="0045663A"/>
    <w:rsid w:val="0046344E"/>
    <w:rsid w:val="004667E7"/>
    <w:rsid w:val="004729F6"/>
    <w:rsid w:val="00475797"/>
    <w:rsid w:val="0049253B"/>
    <w:rsid w:val="004A140B"/>
    <w:rsid w:val="004A6403"/>
    <w:rsid w:val="004A6930"/>
    <w:rsid w:val="004B7BAA"/>
    <w:rsid w:val="004C2DF7"/>
    <w:rsid w:val="004C4E0B"/>
    <w:rsid w:val="004D497E"/>
    <w:rsid w:val="004E4809"/>
    <w:rsid w:val="004E5985"/>
    <w:rsid w:val="004E6352"/>
    <w:rsid w:val="004E6460"/>
    <w:rsid w:val="004E7A6A"/>
    <w:rsid w:val="004F0645"/>
    <w:rsid w:val="004F6B46"/>
    <w:rsid w:val="0050443F"/>
    <w:rsid w:val="0050607D"/>
    <w:rsid w:val="00511999"/>
    <w:rsid w:val="00514EAC"/>
    <w:rsid w:val="00521EA5"/>
    <w:rsid w:val="00523DCC"/>
    <w:rsid w:val="00525B80"/>
    <w:rsid w:val="00527225"/>
    <w:rsid w:val="0053098F"/>
    <w:rsid w:val="00534BCA"/>
    <w:rsid w:val="00536B2E"/>
    <w:rsid w:val="00543746"/>
    <w:rsid w:val="00546D8E"/>
    <w:rsid w:val="00553738"/>
    <w:rsid w:val="00555D3F"/>
    <w:rsid w:val="005643C4"/>
    <w:rsid w:val="005703F2"/>
    <w:rsid w:val="00571AE1"/>
    <w:rsid w:val="005767E1"/>
    <w:rsid w:val="00581CFE"/>
    <w:rsid w:val="00582FCD"/>
    <w:rsid w:val="00585ED5"/>
    <w:rsid w:val="00592267"/>
    <w:rsid w:val="0059421F"/>
    <w:rsid w:val="00596CF0"/>
    <w:rsid w:val="005A24CE"/>
    <w:rsid w:val="005B0AE2"/>
    <w:rsid w:val="005B1F2C"/>
    <w:rsid w:val="005B5F3C"/>
    <w:rsid w:val="005C5232"/>
    <w:rsid w:val="005C53F9"/>
    <w:rsid w:val="005D03D9"/>
    <w:rsid w:val="005D1EE8"/>
    <w:rsid w:val="005D56AE"/>
    <w:rsid w:val="005D64DC"/>
    <w:rsid w:val="005D666D"/>
    <w:rsid w:val="005E3A59"/>
    <w:rsid w:val="005F1A40"/>
    <w:rsid w:val="00604802"/>
    <w:rsid w:val="00611D00"/>
    <w:rsid w:val="00615AB0"/>
    <w:rsid w:val="0061778C"/>
    <w:rsid w:val="006275BD"/>
    <w:rsid w:val="006300A2"/>
    <w:rsid w:val="00633FDB"/>
    <w:rsid w:val="00636B90"/>
    <w:rsid w:val="006449B2"/>
    <w:rsid w:val="0064738B"/>
    <w:rsid w:val="006508EA"/>
    <w:rsid w:val="00657D87"/>
    <w:rsid w:val="006614FE"/>
    <w:rsid w:val="00667E86"/>
    <w:rsid w:val="00674998"/>
    <w:rsid w:val="00681435"/>
    <w:rsid w:val="0068392D"/>
    <w:rsid w:val="00697DB5"/>
    <w:rsid w:val="006A1B33"/>
    <w:rsid w:val="006A492A"/>
    <w:rsid w:val="006B14E7"/>
    <w:rsid w:val="006B5C72"/>
    <w:rsid w:val="006B66E8"/>
    <w:rsid w:val="006D0310"/>
    <w:rsid w:val="006D2009"/>
    <w:rsid w:val="006D5576"/>
    <w:rsid w:val="006E766D"/>
    <w:rsid w:val="006F4B29"/>
    <w:rsid w:val="006F6CE9"/>
    <w:rsid w:val="00700A1C"/>
    <w:rsid w:val="00700FD9"/>
    <w:rsid w:val="0070517C"/>
    <w:rsid w:val="00705C9F"/>
    <w:rsid w:val="00716951"/>
    <w:rsid w:val="00720F6B"/>
    <w:rsid w:val="007259F0"/>
    <w:rsid w:val="00735D9E"/>
    <w:rsid w:val="00745A09"/>
    <w:rsid w:val="00751EAF"/>
    <w:rsid w:val="00754CF7"/>
    <w:rsid w:val="00757B0D"/>
    <w:rsid w:val="00757C11"/>
    <w:rsid w:val="00761320"/>
    <w:rsid w:val="0076135A"/>
    <w:rsid w:val="00762494"/>
    <w:rsid w:val="007651B1"/>
    <w:rsid w:val="00765C12"/>
    <w:rsid w:val="00771A68"/>
    <w:rsid w:val="007744D2"/>
    <w:rsid w:val="00776A3E"/>
    <w:rsid w:val="0078104D"/>
    <w:rsid w:val="00781F4A"/>
    <w:rsid w:val="00786136"/>
    <w:rsid w:val="00797F18"/>
    <w:rsid w:val="007A39EC"/>
    <w:rsid w:val="007A694A"/>
    <w:rsid w:val="007A7971"/>
    <w:rsid w:val="007C1EA0"/>
    <w:rsid w:val="007C212A"/>
    <w:rsid w:val="007D3D0E"/>
    <w:rsid w:val="007E7D21"/>
    <w:rsid w:val="007F482F"/>
    <w:rsid w:val="007F509A"/>
    <w:rsid w:val="007F7C94"/>
    <w:rsid w:val="0080398D"/>
    <w:rsid w:val="00806385"/>
    <w:rsid w:val="00807CC5"/>
    <w:rsid w:val="00811921"/>
    <w:rsid w:val="00814CC6"/>
    <w:rsid w:val="008229A3"/>
    <w:rsid w:val="00831751"/>
    <w:rsid w:val="00833369"/>
    <w:rsid w:val="00835B42"/>
    <w:rsid w:val="00842A4E"/>
    <w:rsid w:val="008451AA"/>
    <w:rsid w:val="00847D99"/>
    <w:rsid w:val="0085038E"/>
    <w:rsid w:val="00851EC1"/>
    <w:rsid w:val="008536F5"/>
    <w:rsid w:val="0086271D"/>
    <w:rsid w:val="0086420B"/>
    <w:rsid w:val="00864DBF"/>
    <w:rsid w:val="00865AE2"/>
    <w:rsid w:val="008779F6"/>
    <w:rsid w:val="008907B5"/>
    <w:rsid w:val="0089601F"/>
    <w:rsid w:val="008A7313"/>
    <w:rsid w:val="008A7D91"/>
    <w:rsid w:val="008B7FC7"/>
    <w:rsid w:val="008C09C4"/>
    <w:rsid w:val="008C4337"/>
    <w:rsid w:val="008C4F06"/>
    <w:rsid w:val="008D76C5"/>
    <w:rsid w:val="008E1E4A"/>
    <w:rsid w:val="008F0615"/>
    <w:rsid w:val="008F0E0A"/>
    <w:rsid w:val="008F103E"/>
    <w:rsid w:val="008F1FDB"/>
    <w:rsid w:val="008F36FB"/>
    <w:rsid w:val="00902230"/>
    <w:rsid w:val="0090427F"/>
    <w:rsid w:val="00915389"/>
    <w:rsid w:val="0091650C"/>
    <w:rsid w:val="00920506"/>
    <w:rsid w:val="0092292A"/>
    <w:rsid w:val="00931DEB"/>
    <w:rsid w:val="00933957"/>
    <w:rsid w:val="00936A3F"/>
    <w:rsid w:val="00950605"/>
    <w:rsid w:val="0095202F"/>
    <w:rsid w:val="00952233"/>
    <w:rsid w:val="00952ECB"/>
    <w:rsid w:val="00954D66"/>
    <w:rsid w:val="009559E0"/>
    <w:rsid w:val="00963A9D"/>
    <w:rsid w:val="00963F8F"/>
    <w:rsid w:val="00973C62"/>
    <w:rsid w:val="00975D76"/>
    <w:rsid w:val="00982BFF"/>
    <w:rsid w:val="00982E51"/>
    <w:rsid w:val="009874B9"/>
    <w:rsid w:val="009877A4"/>
    <w:rsid w:val="00993581"/>
    <w:rsid w:val="009A026B"/>
    <w:rsid w:val="009A08F2"/>
    <w:rsid w:val="009A288C"/>
    <w:rsid w:val="009A2EC3"/>
    <w:rsid w:val="009A3D87"/>
    <w:rsid w:val="009A64C1"/>
    <w:rsid w:val="009B6697"/>
    <w:rsid w:val="009C2EA4"/>
    <w:rsid w:val="009C4C04"/>
    <w:rsid w:val="009D6A2C"/>
    <w:rsid w:val="009E2BBD"/>
    <w:rsid w:val="009F7566"/>
    <w:rsid w:val="00A017CD"/>
    <w:rsid w:val="00A06BFE"/>
    <w:rsid w:val="00A0767F"/>
    <w:rsid w:val="00A10F5D"/>
    <w:rsid w:val="00A1243C"/>
    <w:rsid w:val="00A135AE"/>
    <w:rsid w:val="00A14AF1"/>
    <w:rsid w:val="00A16891"/>
    <w:rsid w:val="00A268CE"/>
    <w:rsid w:val="00A31968"/>
    <w:rsid w:val="00A332E8"/>
    <w:rsid w:val="00A35AF5"/>
    <w:rsid w:val="00A35CFE"/>
    <w:rsid w:val="00A35DDF"/>
    <w:rsid w:val="00A36CBA"/>
    <w:rsid w:val="00A377E7"/>
    <w:rsid w:val="00A41E35"/>
    <w:rsid w:val="00A45741"/>
    <w:rsid w:val="00A50291"/>
    <w:rsid w:val="00A530E4"/>
    <w:rsid w:val="00A604CD"/>
    <w:rsid w:val="00A60FE6"/>
    <w:rsid w:val="00A622F5"/>
    <w:rsid w:val="00A639DC"/>
    <w:rsid w:val="00A654BE"/>
    <w:rsid w:val="00A66DD6"/>
    <w:rsid w:val="00A771FD"/>
    <w:rsid w:val="00A84B3C"/>
    <w:rsid w:val="00A874EF"/>
    <w:rsid w:val="00A87EB3"/>
    <w:rsid w:val="00A95415"/>
    <w:rsid w:val="00AA3C89"/>
    <w:rsid w:val="00AA4235"/>
    <w:rsid w:val="00AB2ED0"/>
    <w:rsid w:val="00AB32BD"/>
    <w:rsid w:val="00AB4723"/>
    <w:rsid w:val="00AC4CDB"/>
    <w:rsid w:val="00AC70FE"/>
    <w:rsid w:val="00AD33A8"/>
    <w:rsid w:val="00AD4358"/>
    <w:rsid w:val="00AF61E1"/>
    <w:rsid w:val="00AF638A"/>
    <w:rsid w:val="00B00141"/>
    <w:rsid w:val="00B009AA"/>
    <w:rsid w:val="00B01B02"/>
    <w:rsid w:val="00B030C8"/>
    <w:rsid w:val="00B056E7"/>
    <w:rsid w:val="00B05B71"/>
    <w:rsid w:val="00B10035"/>
    <w:rsid w:val="00B11EAD"/>
    <w:rsid w:val="00B1252C"/>
    <w:rsid w:val="00B138EA"/>
    <w:rsid w:val="00B15C76"/>
    <w:rsid w:val="00B165E6"/>
    <w:rsid w:val="00B235DB"/>
    <w:rsid w:val="00B31C07"/>
    <w:rsid w:val="00B347B9"/>
    <w:rsid w:val="00B4340B"/>
    <w:rsid w:val="00B447C0"/>
    <w:rsid w:val="00B5229B"/>
    <w:rsid w:val="00B548A2"/>
    <w:rsid w:val="00B56934"/>
    <w:rsid w:val="00B62F03"/>
    <w:rsid w:val="00B71845"/>
    <w:rsid w:val="00B72444"/>
    <w:rsid w:val="00B730D7"/>
    <w:rsid w:val="00B873C1"/>
    <w:rsid w:val="00B93B62"/>
    <w:rsid w:val="00B953D1"/>
    <w:rsid w:val="00BA30D0"/>
    <w:rsid w:val="00BA544F"/>
    <w:rsid w:val="00BA6E7D"/>
    <w:rsid w:val="00BB0C0F"/>
    <w:rsid w:val="00BB0D32"/>
    <w:rsid w:val="00BC12D1"/>
    <w:rsid w:val="00BC6F2F"/>
    <w:rsid w:val="00BC7628"/>
    <w:rsid w:val="00BC76B5"/>
    <w:rsid w:val="00BD5420"/>
    <w:rsid w:val="00BF034F"/>
    <w:rsid w:val="00BF631F"/>
    <w:rsid w:val="00C04BD2"/>
    <w:rsid w:val="00C13EEC"/>
    <w:rsid w:val="00C14689"/>
    <w:rsid w:val="00C156A4"/>
    <w:rsid w:val="00C20FAA"/>
    <w:rsid w:val="00C2459D"/>
    <w:rsid w:val="00C316F1"/>
    <w:rsid w:val="00C42C95"/>
    <w:rsid w:val="00C4470F"/>
    <w:rsid w:val="00C55E5B"/>
    <w:rsid w:val="00C57D64"/>
    <w:rsid w:val="00C62739"/>
    <w:rsid w:val="00C720A4"/>
    <w:rsid w:val="00C74C75"/>
    <w:rsid w:val="00C7611C"/>
    <w:rsid w:val="00C80474"/>
    <w:rsid w:val="00C86886"/>
    <w:rsid w:val="00C94097"/>
    <w:rsid w:val="00C94A28"/>
    <w:rsid w:val="00C97BD7"/>
    <w:rsid w:val="00CA4269"/>
    <w:rsid w:val="00CA7330"/>
    <w:rsid w:val="00CB04EE"/>
    <w:rsid w:val="00CB1C84"/>
    <w:rsid w:val="00CB64F0"/>
    <w:rsid w:val="00CC2909"/>
    <w:rsid w:val="00CC4FBD"/>
    <w:rsid w:val="00CD0549"/>
    <w:rsid w:val="00CD536B"/>
    <w:rsid w:val="00CE47A5"/>
    <w:rsid w:val="00CF40BF"/>
    <w:rsid w:val="00D05E6F"/>
    <w:rsid w:val="00D14624"/>
    <w:rsid w:val="00D2446B"/>
    <w:rsid w:val="00D24F2A"/>
    <w:rsid w:val="00D27929"/>
    <w:rsid w:val="00D33442"/>
    <w:rsid w:val="00D44BAD"/>
    <w:rsid w:val="00D45B55"/>
    <w:rsid w:val="00D61B9A"/>
    <w:rsid w:val="00D7097B"/>
    <w:rsid w:val="00D728C6"/>
    <w:rsid w:val="00D91DFA"/>
    <w:rsid w:val="00DA159A"/>
    <w:rsid w:val="00DA4CFF"/>
    <w:rsid w:val="00DA6C8E"/>
    <w:rsid w:val="00DB14AD"/>
    <w:rsid w:val="00DB1AB2"/>
    <w:rsid w:val="00DB5E29"/>
    <w:rsid w:val="00DC4FDF"/>
    <w:rsid w:val="00DC66F0"/>
    <w:rsid w:val="00DD2F0E"/>
    <w:rsid w:val="00DD3A65"/>
    <w:rsid w:val="00DD62C6"/>
    <w:rsid w:val="00DE2020"/>
    <w:rsid w:val="00DE2F0C"/>
    <w:rsid w:val="00DE7137"/>
    <w:rsid w:val="00DF6A80"/>
    <w:rsid w:val="00E00498"/>
    <w:rsid w:val="00E011AD"/>
    <w:rsid w:val="00E12147"/>
    <w:rsid w:val="00E14ADB"/>
    <w:rsid w:val="00E17801"/>
    <w:rsid w:val="00E2021A"/>
    <w:rsid w:val="00E2617A"/>
    <w:rsid w:val="00E31CD4"/>
    <w:rsid w:val="00E47778"/>
    <w:rsid w:val="00E538E6"/>
    <w:rsid w:val="00E60419"/>
    <w:rsid w:val="00E61B5E"/>
    <w:rsid w:val="00E64AFB"/>
    <w:rsid w:val="00E802A2"/>
    <w:rsid w:val="00E85C0B"/>
    <w:rsid w:val="00E948DE"/>
    <w:rsid w:val="00E97A36"/>
    <w:rsid w:val="00EA0AD2"/>
    <w:rsid w:val="00EA1D65"/>
    <w:rsid w:val="00EA5FCF"/>
    <w:rsid w:val="00EB13D7"/>
    <w:rsid w:val="00EB14A5"/>
    <w:rsid w:val="00EB1E83"/>
    <w:rsid w:val="00EC7CF5"/>
    <w:rsid w:val="00ED22CB"/>
    <w:rsid w:val="00ED67AF"/>
    <w:rsid w:val="00ED709D"/>
    <w:rsid w:val="00EE128C"/>
    <w:rsid w:val="00EE4C48"/>
    <w:rsid w:val="00EF66D9"/>
    <w:rsid w:val="00EF68E3"/>
    <w:rsid w:val="00EF6BA5"/>
    <w:rsid w:val="00EF780D"/>
    <w:rsid w:val="00EF7A98"/>
    <w:rsid w:val="00F0267E"/>
    <w:rsid w:val="00F070E6"/>
    <w:rsid w:val="00F11B47"/>
    <w:rsid w:val="00F25D8D"/>
    <w:rsid w:val="00F44CCB"/>
    <w:rsid w:val="00F474C9"/>
    <w:rsid w:val="00F5126B"/>
    <w:rsid w:val="00F54EA3"/>
    <w:rsid w:val="00F5693C"/>
    <w:rsid w:val="00F56BA3"/>
    <w:rsid w:val="00F5710F"/>
    <w:rsid w:val="00F61675"/>
    <w:rsid w:val="00F6686B"/>
    <w:rsid w:val="00F67F74"/>
    <w:rsid w:val="00F712B3"/>
    <w:rsid w:val="00F728D7"/>
    <w:rsid w:val="00F73DE3"/>
    <w:rsid w:val="00F744BF"/>
    <w:rsid w:val="00F77219"/>
    <w:rsid w:val="00F84DD2"/>
    <w:rsid w:val="00F8638C"/>
    <w:rsid w:val="00F91133"/>
    <w:rsid w:val="00FA4ECF"/>
    <w:rsid w:val="00FB0872"/>
    <w:rsid w:val="00FB54CC"/>
    <w:rsid w:val="00FB793E"/>
    <w:rsid w:val="00FC009F"/>
    <w:rsid w:val="00FD1A37"/>
    <w:rsid w:val="00FD4E5B"/>
    <w:rsid w:val="00FD77FB"/>
    <w:rsid w:val="00FE4EE0"/>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114B2334"/>
  <w15:docId w15:val="{766DED62-5333-474F-8EEA-22AAD21B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aliases w:val="Appel note de bas de p,Footnote Reference/"/>
    <w:basedOn w:val="DefaultParagraphFont"/>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aliases w:val="DNV-FT Char,DNV-FT,DNV-FT Char Char Char,Char1,ALTS FOOTNOTE,Footnote Text Char Char1,Footnote Text Char4 Char Char,Footnote Text Char1 Char1 Char1 Char,Footnote Text Char Char1 Char1 Char Char,fn,ft"/>
    <w:basedOn w:val="Normal"/>
    <w:link w:val="FootnoteTextChar"/>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aliases w:val="DNV-FT Char Char,DNV-FT Char1,DNV-FT Char Char Char Char,Char1 Char,ALTS FOOTNOTE Char,Footnote Text Char Char1 Char,Footnote Text Char4 Char Char Char,Footnote Text Char1 Char1 Char1 Char Char,fn Char,ft Char"/>
    <w:basedOn w:val="DefaultParagraphFont"/>
    <w:link w:val="FootnoteText"/>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customStyle="1" w:styleId="UnresolvedMention1">
    <w:name w:val="Unresolved Mention1"/>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styleId="ListParagraph">
    <w:name w:val="List Paragraph"/>
    <w:basedOn w:val="Normal"/>
    <w:uiPriority w:val="99"/>
    <w:qFormat/>
    <w:rsid w:val="008907B5"/>
    <w:pPr>
      <w:tabs>
        <w:tab w:val="clear" w:pos="1134"/>
      </w:tabs>
      <w:spacing w:before="120"/>
    </w:pPr>
    <w:rPr>
      <w:rFonts w:ascii="Times New Roman" w:eastAsia="MS Mincho" w:hAnsi="Times New Roman" w:cs="Times New Roman"/>
      <w:sz w:val="24"/>
      <w:szCs w:val="24"/>
      <w:lang w:val="en-US"/>
    </w:rPr>
  </w:style>
  <w:style w:type="paragraph" w:customStyle="1" w:styleId="Headingb">
    <w:name w:val="Heading_b"/>
    <w:basedOn w:val="Normal"/>
    <w:next w:val="Normal"/>
    <w:qFormat/>
    <w:rsid w:val="008907B5"/>
    <w:pPr>
      <w:keepNext/>
      <w:keepLines/>
      <w:tabs>
        <w:tab w:val="left" w:pos="1871"/>
        <w:tab w:val="left" w:pos="2268"/>
      </w:tabs>
      <w:overflowPunct w:val="0"/>
      <w:autoSpaceDE w:val="0"/>
      <w:autoSpaceDN w:val="0"/>
      <w:adjustRightInd w:val="0"/>
      <w:spacing w:before="160"/>
      <w:jc w:val="left"/>
    </w:pPr>
    <w:rPr>
      <w:rFonts w:ascii="Times New Roman Bold" w:eastAsia="Times New Roman" w:hAnsi="Times New Roman Bold" w:cs="Times New Roman"/>
      <w:b/>
      <w:sz w:val="24"/>
      <w:lang w:eastAsia="zh-CN"/>
    </w:rPr>
  </w:style>
  <w:style w:type="paragraph" w:customStyle="1" w:styleId="Alinea">
    <w:name w:val="Alinea"/>
    <w:basedOn w:val="ListParagraph"/>
    <w:qFormat/>
    <w:rsid w:val="008907B5"/>
    <w:pPr>
      <w:numPr>
        <w:numId w:val="1"/>
      </w:numPr>
    </w:pPr>
    <w:rPr>
      <w:lang w:eastAsia="fr-FR"/>
    </w:rPr>
  </w:style>
  <w:style w:type="paragraph" w:customStyle="1" w:styleId="Paragraph">
    <w:name w:val="Paragraph"/>
    <w:basedOn w:val="Normal"/>
    <w:qFormat/>
    <w:rsid w:val="008907B5"/>
    <w:pPr>
      <w:tabs>
        <w:tab w:val="clear" w:pos="1134"/>
      </w:tabs>
      <w:suppressAutoHyphens/>
      <w:autoSpaceDN w:val="0"/>
      <w:spacing w:before="120"/>
    </w:pPr>
    <w:rPr>
      <w:rFonts w:ascii="Times New Roman" w:eastAsia="Times New Roman" w:hAnsi="Times New Roman" w:cs="Times New Roman"/>
      <w:sz w:val="22"/>
      <w:szCs w:val="22"/>
      <w:lang w:eastAsia="fr-FR"/>
    </w:rPr>
  </w:style>
  <w:style w:type="paragraph" w:customStyle="1" w:styleId="Texte">
    <w:name w:val="Texte"/>
    <w:basedOn w:val="Normal"/>
    <w:rsid w:val="008907B5"/>
    <w:pPr>
      <w:tabs>
        <w:tab w:val="clear" w:pos="1134"/>
      </w:tabs>
      <w:suppressAutoHyphens/>
      <w:autoSpaceDN w:val="0"/>
      <w:spacing w:before="120"/>
    </w:pPr>
    <w:rPr>
      <w:rFonts w:ascii="Arial" w:eastAsia="Times New Roman" w:hAnsi="Arial"/>
      <w:sz w:val="22"/>
      <w:szCs w:val="22"/>
      <w:lang w:eastAsia="fr-FR"/>
    </w:rPr>
  </w:style>
  <w:style w:type="character" w:customStyle="1" w:styleId="WMOAgendaItem">
    <w:name w:val="WMO_AgendaItem"/>
    <w:basedOn w:val="DefaultParagraphFont"/>
    <w:qFormat/>
    <w:rsid w:val="008907B5"/>
    <w:rPr>
      <w:rFonts w:ascii="Times New Roman" w:hAnsi="Times New Roman" w:cs="Times New Roman" w:hint="default"/>
      <w:sz w:val="24"/>
      <w:szCs w:val="24"/>
    </w:rPr>
  </w:style>
  <w:style w:type="character" w:customStyle="1" w:styleId="ECCParagraph">
    <w:name w:val="ECC Paragraph"/>
    <w:uiPriority w:val="1"/>
    <w:qFormat/>
    <w:rsid w:val="008907B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9643">
      <w:bodyDiv w:val="1"/>
      <w:marLeft w:val="0"/>
      <w:marRight w:val="0"/>
      <w:marTop w:val="0"/>
      <w:marBottom w:val="0"/>
      <w:divBdr>
        <w:top w:val="none" w:sz="0" w:space="0" w:color="auto"/>
        <w:left w:val="none" w:sz="0" w:space="0" w:color="auto"/>
        <w:bottom w:val="none" w:sz="0" w:space="0" w:color="auto"/>
        <w:right w:val="none" w:sz="0" w:space="0" w:color="auto"/>
      </w:divBdr>
    </w:div>
    <w:div w:id="443813765">
      <w:bodyDiv w:val="1"/>
      <w:marLeft w:val="0"/>
      <w:marRight w:val="0"/>
      <w:marTop w:val="0"/>
      <w:marBottom w:val="0"/>
      <w:divBdr>
        <w:top w:val="none" w:sz="0" w:space="0" w:color="auto"/>
        <w:left w:val="none" w:sz="0" w:space="0" w:color="auto"/>
        <w:bottom w:val="none" w:sz="0" w:space="0" w:color="auto"/>
        <w:right w:val="none" w:sz="0" w:space="0" w:color="auto"/>
      </w:divBdr>
    </w:div>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INFCOM-2/_layouts/15/WopiFrame.aspx?sourcedoc=/INFCOM-2/Spanish/2.%20VERSI%C3%93N%20PROVISIONAL%20DEL%20INFORME%20(Documentos%20aprobados)/INFCOM-2-d06-1(8)-WMO-POSITION-WRC-23-approved_es.docx&amp;action=defau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brary.wmo.int/doc_num.php?explnum_id=9847" TargetMode="External"/><Relationship Id="rId17" Type="http://schemas.openxmlformats.org/officeDocument/2006/relationships/hyperlink" Target="https://library.wmo.int/doc_num.php?explnum_id=9847" TargetMode="External"/><Relationship Id="rId2" Type="http://schemas.openxmlformats.org/officeDocument/2006/relationships/customXml" Target="../customXml/item2.xml"/><Relationship Id="rId16" Type="http://schemas.openxmlformats.org/officeDocument/2006/relationships/hyperlink" Target="https://library.wmo.int/doc_num.php?explnum_id=114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ibrary.wmo.int/doc_num.php?explnum_id=9847"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984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myitu/Publications/2020/09/02/14/23/Radio-Regulations-2020?sc_camp=DD249A18F65340498C7674FA167CAC94" TargetMode="External"/><Relationship Id="rId2" Type="http://schemas.openxmlformats.org/officeDocument/2006/relationships/hyperlink" Target="https://www.itu.int/en/myitu/Publications/2020/09/02/14/23/Radio-Regulations-2020?sc_camp=DD249A18F65340498C7674FA167CAC94" TargetMode="External"/><Relationship Id="rId1" Type="http://schemas.openxmlformats.org/officeDocument/2006/relationships/hyperlink" Target="https://public.wmo.int/en/our-mandate/what-we-do/wmo-contributing-sustainable-development-goals-sdgs" TargetMode="External"/><Relationship Id="rId5" Type="http://schemas.openxmlformats.org/officeDocument/2006/relationships/hyperlink" Target="https://www.itu.int/pub/R-REP-M.2316" TargetMode="External"/><Relationship Id="rId4" Type="http://schemas.openxmlformats.org/officeDocument/2006/relationships/hyperlink" Target="http://oscar.wmo.int/sp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ard\Download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6EF02817-BFA0-41F7-B8A7-7481D8BF8810}"/>
</file>

<file path=customXml/itemProps3.xml><?xml version="1.0" encoding="utf-8"?>
<ds:datastoreItem xmlns:ds="http://schemas.openxmlformats.org/officeDocument/2006/customXml" ds:itemID="{4CE4C997-AFE9-4FD5-8B67-4DD00902483D}">
  <ds:schemaRefs>
    <ds:schemaRef ds:uri="http://schemas.openxmlformats.org/package/2006/metadata/core-properties"/>
    <ds:schemaRef ds:uri="ce21bc6c-711a-4065-a01c-a8f0e29e3ad8"/>
    <ds:schemaRef ds:uri="http://schemas.microsoft.com/office/infopath/2007/PartnerControls"/>
    <ds:schemaRef ds:uri="http://schemas.microsoft.com/office/2006/metadata/properties"/>
    <ds:schemaRef ds:uri="http://www.w3.org/XML/1998/namespace"/>
    <ds:schemaRef ds:uri="3679bf0f-1d7e-438f-afa5-6ebf1e20f9b8"/>
    <ds:schemaRef ds:uri="http://purl.org/dc/elements/1.1/"/>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C489FAAE-24AC-4F43-97E5-A41308AF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Template>
  <TotalTime>480</TotalTime>
  <Pages>35</Pages>
  <Words>16173</Words>
  <Characters>88957</Characters>
  <Application>Microsoft Office Word</Application>
  <DocSecurity>0</DocSecurity>
  <Lines>741</Lines>
  <Paragraphs>209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104921</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Fabian Rubiolo</cp:lastModifiedBy>
  <cp:revision>166</cp:revision>
  <cp:lastPrinted>2023-02-01T08:00:00Z</cp:lastPrinted>
  <dcterms:created xsi:type="dcterms:W3CDTF">2023-01-31T15:19:00Z</dcterms:created>
  <dcterms:modified xsi:type="dcterms:W3CDTF">2023-02-02T08:32:00Z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